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7550.xml.htm"/>
      <w:bookmarkStart w:id="1" w:name="kswkform4_17865675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Egan Kevin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ICON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COUNTY BUSINESS PARK, LEOPARDSTOWN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D18X5R3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ICON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ICLR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represents a contingent right to receive one ordinary share of the Issuer upon vesting, with a nominal conversion price equal to the par value of the ordinary shares (EUR 0.06) per underlying share automatically deducted from the reporting person's pay in connection with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share units were granted on August 10, 2026 and are scheduled to vest on May 22,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Due to the issuer's status as a foreign private issuer pursuant to Rule 3a12-3(b) under the Securities Exchange Act of 1934 (the "Act"), the reporting person's transactions in the issuer's equity securities are exempt from Sections 16(b) and 16(c) of the Act.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Erina Joan Fox,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534" TargetMode="External"/><Relationship Id="rId5" Type="http://schemas.openxmlformats.org/officeDocument/2006/relationships/hyperlink" Target="http://www.sec.gov/cgi-bin/browse-edgar?action=getcompany&amp;CIK=00010609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3693</Characters>
  <CharactersWithSpaces>4303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