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8"/>
          <w:szCs w:val="28"/>
          <w:b w:val="1"/>
          <w:bCs w:val="1"/>
          <w:color w:val="auto"/>
        </w:rPr>
        <w:t>FORM 6-K</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SECURITIES AND EXCHANGE COMMISSION</w:t>
      </w:r>
    </w:p>
    <w:p>
      <w:pPr>
        <w:spacing w:after="0" w:line="26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Foreign Private Issuer</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13a-16 under</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month ended June, 2013</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ICON plc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6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0-29714</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Brendan Brennan, CFO</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Brendan.Brennan@iconplc.com</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00-353-1-291-2000</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6"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5"/>
          <w:szCs w:val="15"/>
          <w:color w:val="auto"/>
        </w:rPr>
        <w:t>No___</w:t>
      </w:r>
      <w:r>
        <w:rPr>
          <w:rFonts w:ascii="Arial" w:cs="Arial" w:eastAsia="Arial" w:hAnsi="Arial"/>
          <w:sz w:val="15"/>
          <w:szCs w:val="15"/>
          <w:b w:val="1"/>
          <w:bCs w:val="1"/>
          <w:color w:val="auto"/>
        </w:rPr>
        <w:t>_</w:t>
      </w:r>
      <w:r>
        <w:rPr>
          <w:rFonts w:ascii="Arial" w:cs="Arial" w:eastAsia="Arial" w:hAnsi="Arial"/>
          <w:sz w:val="15"/>
          <w:szCs w:val="15"/>
          <w:color w:val="auto"/>
        </w:rPr>
        <w:t>___</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16"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5"/>
          <w:szCs w:val="15"/>
          <w:color w:val="auto"/>
        </w:rPr>
        <w:t>No___</w:t>
      </w:r>
      <w:r>
        <w:rPr>
          <w:rFonts w:ascii="Arial" w:cs="Arial" w:eastAsia="Arial" w:hAnsi="Arial"/>
          <w:sz w:val="15"/>
          <w:szCs w:val="15"/>
          <w:b w:val="1"/>
          <w:bCs w:val="1"/>
          <w:color w:val="auto"/>
        </w:rPr>
        <w:t>X</w:t>
      </w:r>
      <w:r>
        <w:rPr>
          <w:rFonts w:ascii="Arial" w:cs="Arial" w:eastAsia="Arial" w:hAnsi="Arial"/>
          <w:sz w:val="15"/>
          <w:szCs w:val="15"/>
          <w:color w:val="auto"/>
        </w:rPr>
        <w:t>___</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16"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5"/>
          <w:szCs w:val="15"/>
          <w:color w:val="auto"/>
        </w:rPr>
        <w:t>No___</w:t>
      </w:r>
      <w:r>
        <w:rPr>
          <w:rFonts w:ascii="Arial" w:cs="Arial" w:eastAsia="Arial" w:hAnsi="Arial"/>
          <w:sz w:val="15"/>
          <w:szCs w:val="15"/>
          <w:b w:val="1"/>
          <w:bCs w:val="1"/>
          <w:color w:val="auto"/>
        </w:rPr>
        <w:t>X</w:t>
      </w:r>
      <w:r>
        <w:rPr>
          <w:rFonts w:ascii="Arial" w:cs="Arial" w:eastAsia="Arial" w:hAnsi="Arial"/>
          <w:sz w:val="15"/>
          <w:szCs w:val="15"/>
          <w:color w:val="auto"/>
        </w:rPr>
        <w:t>___</w:t>
      </w:r>
    </w:p>
    <w:p>
      <w:pPr>
        <w:spacing w:after="0" w:line="206" w:lineRule="exact"/>
        <w:rPr>
          <w:sz w:val="24"/>
          <w:szCs w:val="24"/>
          <w:color w:val="auto"/>
        </w:rPr>
      </w:pPr>
    </w:p>
    <w:p>
      <w:pPr>
        <w:spacing w:after="0" w:line="252"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5"/>
          <w:szCs w:val="15"/>
          <w:color w:val="auto"/>
        </w:rPr>
        <w:t>No___</w:t>
      </w:r>
      <w:r>
        <w:rPr>
          <w:rFonts w:ascii="Arial" w:cs="Arial" w:eastAsia="Arial" w:hAnsi="Arial"/>
          <w:sz w:val="15"/>
          <w:szCs w:val="15"/>
          <w:b w:val="1"/>
          <w:bCs w:val="1"/>
          <w:color w:val="auto"/>
        </w:rPr>
        <w:t>X</w:t>
      </w:r>
      <w:r>
        <w:rPr>
          <w:rFonts w:ascii="Arial" w:cs="Arial" w:eastAsia="Arial" w:hAnsi="Arial"/>
          <w:sz w:val="15"/>
          <w:szCs w:val="15"/>
          <w:color w:val="auto"/>
        </w:rPr>
        <w:t>___</w:t>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417195</wp:posOffset>
            </wp:positionV>
            <wp:extent cx="725360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214" w:right="2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98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110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Notice of Annual General Meeting</w:t>
            </w:r>
          </w:p>
        </w:tc>
      </w:tr>
      <w:tr>
        <w:trPr>
          <w:trHeight w:val="212"/>
        </w:trPr>
        <w:tc>
          <w:tcPr>
            <w:tcW w:w="520" w:type="dxa"/>
            <w:vAlign w:val="bottom"/>
          </w:tcPr>
          <w:p>
            <w:pPr>
              <w:spacing w:after="0"/>
              <w:rPr>
                <w:sz w:val="20"/>
                <w:szCs w:val="20"/>
                <w:color w:val="auto"/>
              </w:rPr>
            </w:pPr>
            <w:r>
              <w:rPr>
                <w:rFonts w:ascii="Arial" w:cs="Arial" w:eastAsia="Arial" w:hAnsi="Arial"/>
                <w:sz w:val="18"/>
                <w:szCs w:val="18"/>
                <w:color w:val="auto"/>
              </w:rPr>
              <w:t>99.2</w:t>
            </w:r>
          </w:p>
        </w:tc>
        <w:tc>
          <w:tcPr>
            <w:tcW w:w="110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Proxy Card</w:t>
            </w: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auto"/>
              </w:rPr>
              <w:t>99.3</w:t>
            </w:r>
          </w:p>
        </w:tc>
        <w:tc>
          <w:tcPr>
            <w:tcW w:w="1100" w:type="dxa"/>
            <w:vAlign w:val="bottom"/>
          </w:tcPr>
          <w:p>
            <w:pPr>
              <w:spacing w:after="0"/>
              <w:rPr>
                <w:sz w:val="19"/>
                <w:szCs w:val="19"/>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ICON plc Annual Report</w:t>
            </w:r>
          </w:p>
        </w:tc>
      </w:tr>
      <w:tr>
        <w:trPr>
          <w:trHeight w:val="647"/>
        </w:trPr>
        <w:tc>
          <w:tcPr>
            <w:tcW w:w="5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8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ICON plc</w:t>
            </w:r>
          </w:p>
        </w:tc>
      </w:tr>
      <w:tr>
        <w:trPr>
          <w:trHeight w:val="856"/>
        </w:trPr>
        <w:tc>
          <w:tcPr>
            <w:tcW w:w="7620" w:type="dxa"/>
            <w:vAlign w:val="bottom"/>
          </w:tcPr>
          <w:p>
            <w:pPr>
              <w:spacing w:after="0"/>
              <w:rPr>
                <w:sz w:val="24"/>
                <w:szCs w:val="24"/>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0"/>
        </w:trPr>
        <w:tc>
          <w:tcPr>
            <w:tcW w:w="7620" w:type="dxa"/>
            <w:vAlign w:val="bottom"/>
          </w:tcPr>
          <w:p>
            <w:pPr>
              <w:spacing w:after="0" w:line="200" w:lineRule="exact"/>
              <w:rPr>
                <w:sz w:val="20"/>
                <w:szCs w:val="20"/>
                <w:color w:val="auto"/>
              </w:rPr>
            </w:pPr>
            <w:r>
              <w:rPr>
                <w:rFonts w:ascii="Arial" w:cs="Arial" w:eastAsia="Arial" w:hAnsi="Arial"/>
                <w:sz w:val="18"/>
                <w:szCs w:val="18"/>
                <w:color w:val="auto"/>
              </w:rPr>
              <w:t>Date: June 17, 2013</w:t>
            </w:r>
          </w:p>
        </w:tc>
        <w:tc>
          <w:tcPr>
            <w:tcW w:w="3800" w:type="dxa"/>
            <w:vAlign w:val="bottom"/>
          </w:tcPr>
          <w:p>
            <w:pPr>
              <w:spacing w:after="0" w:line="200" w:lineRule="exact"/>
              <w:rPr>
                <w:sz w:val="20"/>
                <w:szCs w:val="20"/>
                <w:color w:val="auto"/>
              </w:rPr>
            </w:pPr>
            <w:r>
              <w:rPr>
                <w:rFonts w:ascii="Arial" w:cs="Arial" w:eastAsia="Arial" w:hAnsi="Arial"/>
                <w:sz w:val="18"/>
                <w:szCs w:val="18"/>
                <w:color w:val="auto"/>
              </w:rPr>
              <w:t>Brendan Brennan</w:t>
            </w:r>
          </w:p>
        </w:tc>
      </w:tr>
      <w:tr>
        <w:trPr>
          <w:trHeight w:val="223"/>
        </w:trPr>
        <w:tc>
          <w:tcPr>
            <w:tcW w:w="76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50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b w:val="1"/>
          <w:bCs w:val="1"/>
          <w:color w:val="auto"/>
        </w:rPr>
        <w:t>Exhibit 99.1</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22 July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2538095</wp:posOffset>
            </wp:positionH>
            <wp:positionV relativeFrom="paragraph">
              <wp:posOffset>761365</wp:posOffset>
            </wp:positionV>
            <wp:extent cx="2188845" cy="782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8845" cy="782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 or “ICON”)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DOCUMENT IS IMPORTANT AND REQUIRES YOUR IMMEDIATE ATTENTION.</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 are in any doubt as to the action to be taken, you should consult with your independent financial adviser who, if you are taking advice in the Republic of Ireland, is authorized or exempted under the European Communities (Markets in Financial Instruments) Regulations (Nos. 1 to 3) 2007 or the Investment Intermediaries Act, 1995</w:t>
      </w:r>
      <w:r>
        <w:rPr>
          <w:rFonts w:ascii="Arial" w:cs="Arial" w:eastAsia="Arial" w:hAnsi="Arial"/>
          <w:sz w:val="18"/>
          <w:szCs w:val="18"/>
          <w:b w:val="1"/>
          <w:bCs w:val="1"/>
          <w:color w:val="auto"/>
        </w:rPr>
        <w:t>.</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 have sold or transferred your entire holding of ordinary shares in ICON, please pass this document, together with the attached proxy form, to the purchaser or transferee, or to the stockbroker, bank or other agent through whom the sale was effected, for transmission to the purchaser or transferee as soon as possible.</w:t>
      </w:r>
    </w:p>
    <w:p>
      <w:pPr>
        <w:spacing w:after="0" w:line="215"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The Company cancelled its secondary listing on the Irish Stock Exchange and is no longer listed on that market. For this reason, the Company is not subject to the same ongoing regulatory requirements as those which would apply to an Irish company with a listing on the Irish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375285</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14 June, 2013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To: All ICON Shareholders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GENERAL MEETING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4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It is my pleasure to write to you for the first time since my appointment as non-executive Chairman on 1 January 2013. I have had the privilege of serving as a non-executive director of ICON since 1994 and I was delighted to accept the Chair.</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This letter encloses the notice of the Annual General Meeting of ICON (the </w:t>
      </w:r>
      <w:r>
        <w:rPr>
          <w:rFonts w:ascii="Arial" w:cs="Arial" w:eastAsia="Arial" w:hAnsi="Arial"/>
          <w:sz w:val="18"/>
          <w:szCs w:val="18"/>
          <w:b w:val="1"/>
          <w:bCs w:val="1"/>
          <w:color w:val="auto"/>
        </w:rPr>
        <w:t>AGM</w:t>
      </w:r>
      <w:r>
        <w:rPr>
          <w:rFonts w:ascii="Arial" w:cs="Arial" w:eastAsia="Arial" w:hAnsi="Arial"/>
          <w:sz w:val="18"/>
          <w:szCs w:val="18"/>
          <w:color w:val="auto"/>
        </w:rPr>
        <w:t>) to be held at 8.30am (Dublin time) on 22 July 2013. Before dealing with the business of the AGM, I would like to congratulate ICON Management and all employees on a successful 2012.</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2012, existing strategic partnerships were expanded and strengthened, new strategic partnerships were won, 2 acquisitions were completed and successfully integrated - Beijing Wits (which significantly strengthened our Chinese operations and Asia Pacific presence) and Pricespective (a global leader in value strategy consulting) and the ICON brand and service delivery were further strengthened. Our progress in 2012 is clearly reflected in the Company’s financial performance and creation of shareholder value as evidenced by the following key highlights:</w:t>
      </w:r>
    </w:p>
    <w:p>
      <w:pPr>
        <w:spacing w:after="0" w:line="218" w:lineRule="exact"/>
        <w:rPr>
          <w:sz w:val="20"/>
          <w:szCs w:val="20"/>
          <w:color w:val="auto"/>
        </w:rPr>
      </w:pPr>
    </w:p>
    <w:p>
      <w:pPr>
        <w:ind w:left="660" w:hanging="33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EPS growth of 92% (EPS was $1 in 2012 compared with 52 cents in 2011).</w:t>
      </w:r>
    </w:p>
    <w:p>
      <w:pPr>
        <w:spacing w:after="0" w:line="243" w:lineRule="exact"/>
        <w:rPr>
          <w:rFonts w:ascii="Arial" w:cs="Arial" w:eastAsia="Arial" w:hAnsi="Arial"/>
          <w:sz w:val="18"/>
          <w:szCs w:val="18"/>
          <w:color w:val="auto"/>
        </w:rPr>
      </w:pPr>
    </w:p>
    <w:p>
      <w:pPr>
        <w:ind w:left="660" w:hanging="33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income increased sequentially each quarter during 2012 - Q1-$11.7m; Q2-$16.6m; Q3-$20.9m; Q4-$24.4m.</w:t>
      </w:r>
    </w:p>
    <w:p>
      <w:pPr>
        <w:spacing w:after="0" w:line="243" w:lineRule="exact"/>
        <w:rPr>
          <w:rFonts w:ascii="Arial" w:cs="Arial" w:eastAsia="Arial" w:hAnsi="Arial"/>
          <w:sz w:val="18"/>
          <w:szCs w:val="18"/>
          <w:color w:val="auto"/>
        </w:rPr>
      </w:pPr>
    </w:p>
    <w:p>
      <w:pPr>
        <w:ind w:left="660" w:hanging="336"/>
        <w:spacing w:after="0" w:line="265"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Shareholder value of $644,660,778 was created in 2012 – the Company entered 2012 with a share price of $17.11 and a market cap of $1,028,920,166 and exited 2012 with a share price of $27.76 and market cap of $1,673,580,944.</w:t>
      </w:r>
    </w:p>
    <w:p>
      <w:pPr>
        <w:spacing w:after="0" w:line="205" w:lineRule="exact"/>
        <w:rPr>
          <w:rFonts w:ascii="Arial" w:cs="Arial" w:eastAsia="Arial" w:hAnsi="Arial"/>
          <w:sz w:val="18"/>
          <w:szCs w:val="18"/>
          <w:color w:val="auto"/>
        </w:rPr>
      </w:pPr>
    </w:p>
    <w:p>
      <w:pPr>
        <w:ind w:left="660" w:hanging="336"/>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Company broke the $1 billion revenue mark for the first time in its history (2012 revenue was $1.12bn compared with $946m in 2011).</w:t>
      </w:r>
    </w:p>
    <w:p>
      <w:pPr>
        <w:spacing w:after="0" w:line="25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While the Company regularly communicates with shareholders, I thought it was timely to mention these key highlights. Management has also ensured the success in 2012 has carried on in 2013 and I feel the Company is well positioned to expand and develop in the dynamic and growing CRO industry. Further information on 2012 is available in our Annual Report and Form 20-F which are on our website at </w:t>
      </w:r>
      <w:r>
        <w:rPr>
          <w:rFonts w:ascii="Arial" w:cs="Arial" w:eastAsia="Arial" w:hAnsi="Arial"/>
          <w:sz w:val="17"/>
          <w:szCs w:val="17"/>
          <w:u w:val="single" w:color="auto"/>
          <w:color w:val="auto"/>
        </w:rPr>
        <w:t>http://investor.iconplc.com/annuals.cfm.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of the AGM</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There are 8 resolutions in total which deal with:</w:t>
      </w:r>
    </w:p>
    <w:p>
      <w:pPr>
        <w:spacing w:after="0" w:line="5" w:lineRule="exact"/>
        <w:rPr>
          <w:sz w:val="20"/>
          <w:szCs w:val="20"/>
          <w:color w:val="auto"/>
        </w:rPr>
      </w:pPr>
    </w:p>
    <w:p>
      <w:pPr>
        <w:ind w:left="660" w:hanging="3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re-election of directors (3 resolutions);</w:t>
      </w:r>
    </w:p>
    <w:p>
      <w:pPr>
        <w:spacing w:after="0" w:line="5" w:lineRule="exact"/>
        <w:rPr>
          <w:rFonts w:ascii="Arial" w:cs="Arial" w:eastAsia="Arial" w:hAnsi="Arial"/>
          <w:sz w:val="18"/>
          <w:szCs w:val="18"/>
          <w:color w:val="auto"/>
        </w:rPr>
      </w:pPr>
    </w:p>
    <w:p>
      <w:pPr>
        <w:ind w:left="660" w:hanging="3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2012 accounts;</w:t>
      </w:r>
    </w:p>
    <w:p>
      <w:pPr>
        <w:spacing w:after="0" w:line="5" w:lineRule="exact"/>
        <w:rPr>
          <w:rFonts w:ascii="Arial" w:cs="Arial" w:eastAsia="Arial" w:hAnsi="Arial"/>
          <w:sz w:val="18"/>
          <w:szCs w:val="18"/>
          <w:color w:val="auto"/>
        </w:rPr>
      </w:pPr>
    </w:p>
    <w:p>
      <w:pPr>
        <w:ind w:left="660" w:hanging="3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appointment of auditors; and</w:t>
      </w:r>
    </w:p>
    <w:p>
      <w:pPr>
        <w:spacing w:after="0" w:line="5" w:lineRule="exact"/>
        <w:rPr>
          <w:rFonts w:ascii="Arial" w:cs="Arial" w:eastAsia="Arial" w:hAnsi="Arial"/>
          <w:sz w:val="18"/>
          <w:szCs w:val="18"/>
          <w:color w:val="auto"/>
        </w:rPr>
      </w:pPr>
    </w:p>
    <w:p>
      <w:pPr>
        <w:ind w:left="660" w:hanging="3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issuing and buy back of shares (3 resolutions).</w:t>
      </w:r>
    </w:p>
    <w:p>
      <w:pPr>
        <w:spacing w:after="0" w:line="232"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There is a summary of the resolutions on pages 7 to 9, the full text of the resolutions is on pages 10 and 11, instructions as to how to vote are on pages 12 and 13 and the proxy appointment materials are enclosed on a separate form of proxy.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would also like to make some high level points in relation to the resolutions:</w:t>
      </w: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21"/>
          <w:szCs w:val="21"/>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ICON plc – Notice of Annual General Meeting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408940</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5" w:name="page6"/>
    <w:bookmarkEnd w:id="5"/>
    <w:p>
      <w:pPr>
        <w:jc w:val="both"/>
        <w:ind w:left="660" w:hanging="336"/>
        <w:spacing w:after="0" w:line="26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Executive Remuneration </w:t>
      </w:r>
      <w:r>
        <w:rPr>
          <w:rFonts w:ascii="Arial" w:cs="Arial" w:eastAsia="Arial" w:hAnsi="Arial"/>
          <w:sz w:val="17"/>
          <w:szCs w:val="17"/>
          <w:color w:val="auto"/>
        </w:rPr>
        <w:t>- as the Company is, to a large extent, a people business, the Board recognized the importance of financially rewarding key</w:t>
      </w:r>
      <w:r>
        <w:rPr>
          <w:rFonts w:ascii="Arial" w:cs="Arial" w:eastAsia="Arial" w:hAnsi="Arial"/>
          <w:sz w:val="17"/>
          <w:szCs w:val="17"/>
          <w:b w:val="1"/>
          <w:bCs w:val="1"/>
          <w:color w:val="auto"/>
        </w:rPr>
        <w:t xml:space="preserve"> </w:t>
      </w:r>
      <w:r>
        <w:rPr>
          <w:rFonts w:ascii="Arial" w:cs="Arial" w:eastAsia="Arial" w:hAnsi="Arial"/>
          <w:sz w:val="17"/>
          <w:szCs w:val="17"/>
          <w:color w:val="auto"/>
        </w:rPr>
        <w:t>members of the executive management team for delivering such a successful 2012. These key executives are Mr. Ciaran Murray (CEO), Dr. Steve Cutler (Group President of Clinical Research Services) and Mr. Brendan Brennan (CFO). The Compensation &amp; Organization Committee carefully reviewed their 2012 compensation before approving it and were satisfied that it is competitive with market, merited and reasonable in the context of the Company’s strong performance and shareholder value created in 2012. As the Company is a foreign private issuer, we are not obliged to provide a “say on pay” shareholder resolution on executive remuneration. We are not including such a resolution this year. Details of the 2012 compensation for the 3 key executives and a Long Term Incentive Plan to incentivize and reward these executives for the Company’s further success and growth are set out in the Schedule to this letter.</w:t>
      </w:r>
    </w:p>
    <w:p>
      <w:pPr>
        <w:spacing w:after="0" w:line="202" w:lineRule="exact"/>
        <w:rPr>
          <w:rFonts w:ascii="Arial" w:cs="Arial" w:eastAsia="Arial" w:hAnsi="Arial"/>
          <w:sz w:val="17"/>
          <w:szCs w:val="17"/>
          <w:color w:val="auto"/>
        </w:rPr>
      </w:pPr>
    </w:p>
    <w:p>
      <w:pPr>
        <w:jc w:val="both"/>
        <w:ind w:left="660" w:hanging="336"/>
        <w:spacing w:after="0" w:line="334" w:lineRule="auto"/>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b w:val="1"/>
          <w:bCs w:val="1"/>
          <w:color w:val="auto"/>
        </w:rPr>
        <w:t xml:space="preserve">Annual Board Re-election </w:t>
      </w:r>
      <w:r>
        <w:rPr>
          <w:rFonts w:ascii="Arial" w:cs="Arial" w:eastAsia="Arial" w:hAnsi="Arial"/>
          <w:sz w:val="15"/>
          <w:szCs w:val="15"/>
          <w:color w:val="auto"/>
        </w:rPr>
        <w:t>– in accordance with our Articles of Association (bye-laws), one third of the Board will stand for re-election at the</w:t>
      </w:r>
      <w:r>
        <w:rPr>
          <w:rFonts w:ascii="Arial" w:cs="Arial" w:eastAsia="Arial" w:hAnsi="Arial"/>
          <w:sz w:val="15"/>
          <w:szCs w:val="15"/>
          <w:b w:val="1"/>
          <w:bCs w:val="1"/>
          <w:color w:val="auto"/>
        </w:rPr>
        <w:t xml:space="preserve"> </w:t>
      </w:r>
      <w:r>
        <w:rPr>
          <w:rFonts w:ascii="Arial" w:cs="Arial" w:eastAsia="Arial" w:hAnsi="Arial"/>
          <w:sz w:val="15"/>
          <w:szCs w:val="15"/>
          <w:color w:val="auto"/>
        </w:rPr>
        <w:t>AGM. This is our long established approach to Board re-election. While we are aware of the movement towards the entire Board standing for re-election each year, we feel that one third of the Board standing for re-election each year is in the best interests of the Company and the shareholders.</w:t>
      </w:r>
    </w:p>
    <w:p>
      <w:pPr>
        <w:spacing w:after="0" w:line="154" w:lineRule="exact"/>
        <w:rPr>
          <w:rFonts w:ascii="Arial" w:cs="Arial" w:eastAsia="Arial" w:hAnsi="Arial"/>
          <w:sz w:val="15"/>
          <w:szCs w:val="15"/>
          <w:color w:val="auto"/>
        </w:rPr>
      </w:pPr>
    </w:p>
    <w:p>
      <w:pPr>
        <w:ind w:left="660" w:hanging="336"/>
        <w:spacing w:after="0" w:line="302"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Authority to issue shares </w:t>
      </w:r>
      <w:r>
        <w:rPr>
          <w:rFonts w:ascii="Arial" w:cs="Arial" w:eastAsia="Arial" w:hAnsi="Arial"/>
          <w:sz w:val="17"/>
          <w:szCs w:val="17"/>
          <w:color w:val="auto"/>
        </w:rPr>
        <w:t>– this year we have changed the approach to two of our standard AGM resolutions relating to the Company’s ability to issue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The changes reflect that the Company is now solely NASDAQ listed and the resolutions are in line with the NASDAQ rules.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ICON Board</w:t>
      </w:r>
    </w:p>
    <w:p>
      <w:pPr>
        <w:spacing w:after="0" w:line="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former non-executive Chairman, Dr. Bruce Given, plans to retire from the Board at the AGM. Dr. Given has served as a non-executive director since 2004, including a 3 year term as non-executive Chairman from 2010 to 2012. I would like to thank him on behalf of ICON and, in particular, my fellow Board members for his invaluable contribution to the Board. While we are sorry that he has decided to retire from the Board, we wish him all the best and we greatly appreciate his many years of valuable service.</w:t>
      </w: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ICON Board was delighted that Prof. William Hall joined the Board in February 2013. His extensive knowledge and expertise have already resulted in him making a significant contribution to the Board. The Board has the right skills, knowledge and expertise but we continue to search, with the help of Russell Reynolds (our external Board recruitment consultant), for suitable candidates to join the Board. It should also be noted that a majority of the Board and all members of the Audit, Nominations and Governance and Compensation and Organization Committees of the Board are independent for the purposes of the NASDAQ rules.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of Proxy and Voting</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The Form of Proxy for the AGM is enclosed separately. Please refer to pages 12 and 13 for details as to how to vote your shares and return your form of proxy.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Recommendation</w:t>
      </w:r>
    </w:p>
    <w:p>
      <w:pPr>
        <w:spacing w:after="0" w:line="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Your Board believes that the resolutions to be proposed at the AGM are in the best interests of the Company and its shareholders. Accordingly, your directors unanimously recommend that you vote in favour of all resolutions as they intend to do in respect of all shares held or beneficially owned by them amounting in total to 1,612,072 Ordinary Shares on 11</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June 2013, representing approximately 2.65% of the issued ordinary share capital of the Company.</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21"/>
          <w:szCs w:val="21"/>
          <w:color w:val="auto"/>
        </w:rPr>
        <w:t>3</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ICON plc – Notice of Annual General Meeting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408940</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162560</wp:posOffset>
            </wp:positionV>
            <wp:extent cx="1027430" cy="640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7430" cy="64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Thomas Lynch</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21"/>
          <w:szCs w:val="21"/>
          <w:color w:val="auto"/>
        </w:rPr>
        <w:t>4</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ICON plc – Notice of Annual General Meeting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408940</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Schedule - Executive Compensation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2012 Compensation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for the 3 key executives in respect of 2012 (as set out in 20F but converted from euro to US dollar where applicable)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6516370</wp:posOffset>
            </wp:positionH>
            <wp:positionV relativeFrom="paragraph">
              <wp:posOffset>142875</wp:posOffset>
            </wp:positionV>
            <wp:extent cx="749300" cy="4965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49300" cy="496570"/>
                    </a:xfrm>
                    <a:prstGeom prst="rect">
                      <a:avLst/>
                    </a:prstGeom>
                    <a:noFill/>
                  </pic:spPr>
                </pic:pic>
              </a:graphicData>
            </a:graphic>
          </wp:anchor>
        </w:drawing>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400" w:type="dxa"/>
            <w:vAlign w:val="bottom"/>
            <w:tcBorders>
              <w:top w:val="single" w:sz="8" w:color="auto"/>
              <w:left w:val="single" w:sz="8" w:color="auto"/>
              <w:right w:val="single" w:sz="8" w:color="auto"/>
            </w:tcBorders>
          </w:tcPr>
          <w:p>
            <w:pPr>
              <w:spacing w:after="0"/>
              <w:rPr>
                <w:sz w:val="21"/>
                <w:szCs w:val="21"/>
                <w:color w:val="auto"/>
              </w:rPr>
            </w:pPr>
          </w:p>
        </w:tc>
        <w:tc>
          <w:tcPr>
            <w:tcW w:w="1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Salary</w:t>
            </w:r>
          </w:p>
        </w:tc>
        <w:tc>
          <w:tcPr>
            <w:tcW w:w="1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Bonus</w:t>
            </w:r>
          </w:p>
        </w:tc>
        <w:tc>
          <w:tcPr>
            <w:tcW w:w="1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Pension</w:t>
            </w:r>
          </w:p>
        </w:tc>
        <w:tc>
          <w:tcPr>
            <w:tcW w:w="19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Other</w:t>
            </w:r>
          </w:p>
        </w:tc>
        <w:tc>
          <w:tcPr>
            <w:tcW w:w="18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Share Based</w:t>
            </w:r>
          </w:p>
        </w:tc>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r>
      <w:tr>
        <w:trPr>
          <w:trHeight w:val="212"/>
        </w:trPr>
        <w:tc>
          <w:tcPr>
            <w:tcW w:w="14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($000s)</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($000s)</w:t>
            </w:r>
          </w:p>
        </w:tc>
        <w:tc>
          <w:tcPr>
            <w:tcW w:w="19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Contribution</w:t>
            </w: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Compensation</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Compensation</w:t>
            </w:r>
          </w:p>
        </w:tc>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($000s)</w:t>
            </w:r>
          </w:p>
        </w:tc>
      </w:tr>
      <w:tr>
        <w:trPr>
          <w:trHeight w:val="229"/>
        </w:trPr>
        <w:tc>
          <w:tcPr>
            <w:tcW w:w="1400" w:type="dxa"/>
            <w:vAlign w:val="bottom"/>
            <w:tcBorders>
              <w:left w:val="single" w:sz="8" w:color="auto"/>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($000s)</w:t>
            </w: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($000s)</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($000s)</w:t>
            </w:r>
          </w:p>
        </w:tc>
        <w:tc>
          <w:tcPr>
            <w:tcW w:w="1120" w:type="dxa"/>
            <w:vAlign w:val="bottom"/>
          </w:tcPr>
          <w:p>
            <w:pPr>
              <w:spacing w:after="0"/>
              <w:rPr>
                <w:sz w:val="19"/>
                <w:szCs w:val="19"/>
                <w:color w:val="auto"/>
              </w:rPr>
            </w:pPr>
          </w:p>
        </w:tc>
      </w:tr>
      <w:tr>
        <w:trPr>
          <w:trHeight w:val="34"/>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20"/>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Mr. Ciaran</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780</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5,447 (part has been</w:t>
            </w:r>
          </w:p>
        </w:tc>
        <w:tc>
          <w:tcPr>
            <w:tcW w:w="1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1,111</w:t>
            </w: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36</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1,942</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9,316</w:t>
            </w:r>
          </w:p>
        </w:tc>
      </w:tr>
      <w:tr>
        <w:trPr>
          <w:trHeight w:val="229"/>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Murray</w:t>
            </w:r>
          </w:p>
        </w:tc>
        <w:tc>
          <w:tcPr>
            <w:tcW w:w="1380" w:type="dxa"/>
            <w:vAlign w:val="bottom"/>
            <w:tcBorders>
              <w:right w:val="single" w:sz="8" w:color="auto"/>
            </w:tcBorders>
          </w:tcPr>
          <w:p>
            <w:pPr>
              <w:spacing w:after="0"/>
              <w:rPr>
                <w:sz w:val="19"/>
                <w:szCs w:val="19"/>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paid and part to be paid)</w:t>
            </w:r>
          </w:p>
        </w:tc>
        <w:tc>
          <w:tcPr>
            <w:tcW w:w="19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34"/>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26"/>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w w:val="96"/>
              </w:rPr>
              <w:t>Dr. Steve Cutler</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550</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3,160 (part has been</w:t>
            </w:r>
          </w:p>
        </w:tc>
        <w:tc>
          <w:tcPr>
            <w:tcW w:w="1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44</w:t>
            </w: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30</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438</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4,222</w:t>
            </w:r>
          </w:p>
        </w:tc>
      </w:tr>
      <w:tr>
        <w:trPr>
          <w:trHeight w:val="223"/>
        </w:trPr>
        <w:tc>
          <w:tcPr>
            <w:tcW w:w="1400" w:type="dxa"/>
            <w:vAlign w:val="bottom"/>
            <w:tcBorders>
              <w:left w:val="single" w:sz="8" w:color="auto"/>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paid and part to be paid)</w:t>
            </w:r>
          </w:p>
        </w:tc>
        <w:tc>
          <w:tcPr>
            <w:tcW w:w="19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34"/>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20"/>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Mr. Brendan</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337</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1,824 (part has been</w:t>
            </w:r>
          </w:p>
        </w:tc>
        <w:tc>
          <w:tcPr>
            <w:tcW w:w="1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42</w:t>
            </w: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25</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174</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2,402</w:t>
            </w:r>
          </w:p>
        </w:tc>
      </w:tr>
      <w:tr>
        <w:trPr>
          <w:trHeight w:val="229"/>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Brennan</w:t>
            </w:r>
          </w:p>
        </w:tc>
        <w:tc>
          <w:tcPr>
            <w:tcW w:w="1380" w:type="dxa"/>
            <w:vAlign w:val="bottom"/>
            <w:tcBorders>
              <w:right w:val="single" w:sz="8" w:color="auto"/>
            </w:tcBorders>
          </w:tcPr>
          <w:p>
            <w:pPr>
              <w:spacing w:after="0"/>
              <w:rPr>
                <w:sz w:val="19"/>
                <w:szCs w:val="19"/>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paid and part to be paid)</w:t>
            </w:r>
          </w:p>
        </w:tc>
        <w:tc>
          <w:tcPr>
            <w:tcW w:w="19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34"/>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spacing w:after="0" w:line="226"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In respect of the bonus amounts listed above, the following amounts have yet to be paid and will, at the discretion of the Compensation &amp; Organization Committee, be paid in cash or shares: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Mr. Ciaran Murray – $1,938,427 will be paid in March 2014 and $1,938,427 will be paid in March 2015</w:t>
      </w:r>
      <w:r>
        <w:rPr>
          <w:rFonts w:ascii="Arial" w:cs="Arial" w:eastAsia="Arial" w:hAnsi="Arial"/>
          <w:sz w:val="24"/>
          <w:szCs w:val="24"/>
          <w:color w:val="auto"/>
          <w:vertAlign w:val="superscript"/>
        </w:rPr>
        <w:t>1</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Dr. Steve Cutler – $810,000 will be paid in March 2014 and $810,000 will be paid in March 2015.</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Mr. Brendan Brennan – $517,985 will be paid in March 2014 and $517,985 will be paid in March 2015</w:t>
      </w:r>
      <w:r>
        <w:rPr>
          <w:rFonts w:ascii="Arial" w:cs="Arial" w:eastAsia="Arial" w:hAnsi="Arial"/>
          <w:sz w:val="24"/>
          <w:szCs w:val="24"/>
          <w:color w:val="auto"/>
          <w:vertAlign w:val="superscript"/>
        </w:rPr>
        <w:t>2</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 Term Incentive Plan</w:t>
      </w:r>
    </w:p>
    <w:p>
      <w:pPr>
        <w:spacing w:after="0" w:line="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plan is a 3 year plan which was put in place in April 2013 and is structured with the aim of aligning the incentivisation and reward of ICON’s 3 key executives (Mr. Ciaran Murray, Dr. Steve Cutler and Mr. Brendan Brennan) to ICON’s EPS and also addressing the current low level of shareholding of these executives. ICON’s EPS was considered currently the most appropriate metric to measure the growth and success of the Company and creation of shareholder value.</w:t>
      </w:r>
    </w:p>
    <w:p>
      <w:pPr>
        <w:spacing w:after="0" w:line="22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Compensation and Organization Committee was independently advised by Towers Watson in relation to the plan. Towers Watson reviewed a proposed plan prepared by PricewaterhouseCoopers (the Company’s advisers) and the amendments to the proposed plan recommended by Towers Watson were implemented in the plan when it was approved by the Compensation and Organization Committee. Shareholder approval of the plan was not required as the Company is a foreign private issuer and the Company has determined to use home country practice. The plan consists of the following (which were all issued in May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14649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4945" cy="8255"/>
                    </a:xfrm>
                    <a:prstGeom prst="rect">
                      <a:avLst/>
                    </a:prstGeom>
                    <a:noFill/>
                  </pic:spPr>
                </pic:pic>
              </a:graphicData>
            </a:graphic>
          </wp:anchor>
        </w:drawing>
      </w:r>
    </w:p>
    <w:p>
      <w:pPr>
        <w:spacing w:after="0" w:line="314" w:lineRule="exact"/>
        <w:rPr>
          <w:sz w:val="20"/>
          <w:szCs w:val="20"/>
          <w:color w:val="auto"/>
        </w:rPr>
      </w:pPr>
    </w:p>
    <w:p>
      <w:pPr>
        <w:ind w:left="120" w:hanging="114"/>
        <w:spacing w:after="0"/>
        <w:tabs>
          <w:tab w:leader="none" w:pos="12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Based on current euro to US dollar exchange rate</w:t>
      </w:r>
    </w:p>
    <w:p>
      <w:pPr>
        <w:spacing w:after="0" w:line="2"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24"/>
          <w:szCs w:val="24"/>
          <w:color w:val="auto"/>
          <w:vertAlign w:val="superscript"/>
        </w:rPr>
        <w:t>2</w:t>
      </w:r>
      <w:r>
        <w:rPr>
          <w:rFonts w:ascii="Arial" w:cs="Arial" w:eastAsia="Arial" w:hAnsi="Arial"/>
          <w:sz w:val="18"/>
          <w:szCs w:val="18"/>
          <w:color w:val="auto"/>
        </w:rPr>
        <w:t xml:space="preserve"> Based on current euro to US dollar exchange rate</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5</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ICON plc – Notice of Annual General Meeting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408940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8" w:name="page9"/>
    <w:bookmarkEnd w:id="8"/>
    <w:p>
      <w:pPr>
        <w:ind w:right="140"/>
        <w:spacing w:after="0" w:line="307" w:lineRule="auto"/>
        <w:rPr>
          <w:sz w:val="20"/>
          <w:szCs w:val="20"/>
          <w:color w:val="auto"/>
        </w:rPr>
      </w:pPr>
      <w:r>
        <w:rPr>
          <w:rFonts w:ascii="Arial" w:cs="Arial" w:eastAsia="Arial" w:hAnsi="Arial"/>
          <w:sz w:val="15"/>
          <w:szCs w:val="15"/>
          <w:b w:val="1"/>
          <w:bCs w:val="1"/>
          <w:color w:val="auto"/>
        </w:rPr>
        <w:t xml:space="preserve">Performance Stock Units (PSUs) </w:t>
      </w:r>
      <w:r>
        <w:rPr>
          <w:rFonts w:ascii="Arial" w:cs="Arial" w:eastAsia="Arial" w:hAnsi="Arial"/>
          <w:sz w:val="15"/>
          <w:szCs w:val="15"/>
          <w:color w:val="auto"/>
        </w:rPr>
        <w:t>–restricted stock units which vest subject to the following 2 conditions: (i) the Company’s cumulative EPS for 2013 to 2015</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w:t>
      </w:r>
      <w:r>
        <w:rPr>
          <w:rFonts w:ascii="Arial" w:cs="Arial" w:eastAsia="Arial" w:hAnsi="Arial"/>
          <w:sz w:val="15"/>
          <w:szCs w:val="15"/>
          <w:b w:val="1"/>
          <w:bCs w:val="1"/>
          <w:color w:val="auto"/>
        </w:rPr>
        <w:t>EPS Period</w:t>
      </w:r>
      <w:r>
        <w:rPr>
          <w:rFonts w:ascii="Arial" w:cs="Arial" w:eastAsia="Arial" w:hAnsi="Arial"/>
          <w:sz w:val="15"/>
          <w:szCs w:val="15"/>
          <w:color w:val="auto"/>
        </w:rPr>
        <w:t>) and (ii) the executive still being employed by May 2016. Assuming the employment condition is met, if the actual EPS for the EPS Period:</w:t>
      </w:r>
    </w:p>
    <w:p>
      <w:pPr>
        <w:ind w:left="660" w:hanging="336"/>
        <w:spacing w:after="0" w:line="24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less than the target EPS set out in the plan, none or some of the target amount of PSUs shall vest depending on the shortfall from actual to target EPS; or</w:t>
      </w:r>
    </w:p>
    <w:p>
      <w:pPr>
        <w:spacing w:after="0" w:line="1" w:lineRule="exact"/>
        <w:rPr>
          <w:rFonts w:ascii="Arial" w:cs="Arial" w:eastAsia="Arial" w:hAnsi="Arial"/>
          <w:sz w:val="18"/>
          <w:szCs w:val="18"/>
          <w:color w:val="auto"/>
        </w:rPr>
      </w:pPr>
    </w:p>
    <w:p>
      <w:pPr>
        <w:ind w:left="660" w:hanging="3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equals the target EPS, the target number of PSUs shall vest; or</w:t>
      </w:r>
    </w:p>
    <w:p>
      <w:pPr>
        <w:spacing w:after="0" w:line="5" w:lineRule="exact"/>
        <w:rPr>
          <w:rFonts w:ascii="Arial" w:cs="Arial" w:eastAsia="Arial" w:hAnsi="Arial"/>
          <w:sz w:val="18"/>
          <w:szCs w:val="18"/>
          <w:color w:val="auto"/>
        </w:rPr>
      </w:pPr>
    </w:p>
    <w:p>
      <w:pPr>
        <w:ind w:left="660" w:hanging="336"/>
        <w:spacing w:after="0" w:line="25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exceeds the EPS target, the target number of PSUs shall vest and additional PSUs shall be issued depending on the level of overachievement (but capped at the same amount as the target PSUs).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 Options </w:t>
      </w:r>
      <w:r>
        <w:rPr>
          <w:rFonts w:ascii="Arial" w:cs="Arial" w:eastAsia="Arial" w:hAnsi="Arial"/>
          <w:sz w:val="18"/>
          <w:szCs w:val="18"/>
          <w:color w:val="auto"/>
        </w:rPr>
        <w:t>– options which vest over a 5 year period after they issue at a rate of 20% per year if the executive remains employed.</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Restricted Stock Units (RSUs) </w:t>
      </w:r>
      <w:r>
        <w:rPr>
          <w:rFonts w:ascii="Arial" w:cs="Arial" w:eastAsia="Arial" w:hAnsi="Arial"/>
          <w:sz w:val="18"/>
          <w:szCs w:val="18"/>
          <w:color w:val="auto"/>
        </w:rPr>
        <w:t>– restricted stock units which vest if the executive is still employed on the vesting date. The RSUs vest in equal instalments</w:t>
      </w:r>
      <w:r>
        <w:rPr>
          <w:rFonts w:ascii="Arial" w:cs="Arial" w:eastAsia="Arial" w:hAnsi="Arial"/>
          <w:sz w:val="18"/>
          <w:szCs w:val="18"/>
          <w:b w:val="1"/>
          <w:bCs w:val="1"/>
          <w:color w:val="auto"/>
        </w:rPr>
        <w:t xml:space="preserve"> </w:t>
      </w:r>
      <w:r>
        <w:rPr>
          <w:rFonts w:ascii="Arial" w:cs="Arial" w:eastAsia="Arial" w:hAnsi="Arial"/>
          <w:sz w:val="18"/>
          <w:szCs w:val="18"/>
          <w:color w:val="auto"/>
        </w:rPr>
        <w:t>over a 3 year period from grant. The Compensation &amp; Organisation Committee felt RSUs should be granted to address the current low level of key executive share ownership in the Company.</w:t>
      </w:r>
    </w:p>
    <w:p>
      <w:pPr>
        <w:spacing w:after="0" w:line="184"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Based on all awards being valued at the share price on 1 May 2013 (when the awards were granted), Stock Options being valued using the Black Scholes method and, most importantly, the actual EPS for the EPS Period equalling the target EPS as set out in the plan and the executives all remaining employed until May 2018 (by when the last 20% tranche of the Share Options will vest), the total value of awards granted under the plan to the 3 executives will be:</w:t>
      </w:r>
    </w:p>
    <w:p>
      <w:pPr>
        <w:spacing w:after="0" w:line="131" w:lineRule="exact"/>
        <w:rPr>
          <w:sz w:val="20"/>
          <w:szCs w:val="20"/>
          <w:color w:val="auto"/>
        </w:rPr>
      </w:pPr>
    </w:p>
    <w:p>
      <w:pPr>
        <w:jc w:val="both"/>
        <w:ind w:right="1640"/>
        <w:spacing w:after="0" w:line="334" w:lineRule="auto"/>
        <w:rPr>
          <w:sz w:val="20"/>
          <w:szCs w:val="20"/>
          <w:color w:val="auto"/>
        </w:rPr>
      </w:pPr>
      <w:r>
        <w:rPr>
          <w:rFonts w:ascii="Arial" w:cs="Arial" w:eastAsia="Arial" w:hAnsi="Arial"/>
          <w:sz w:val="15"/>
          <w:szCs w:val="15"/>
          <w:b w:val="1"/>
          <w:bCs w:val="1"/>
          <w:color w:val="auto"/>
        </w:rPr>
        <w:t xml:space="preserve">Mr. Ciaran Murray </w:t>
      </w:r>
      <w:r>
        <w:rPr>
          <w:rFonts w:ascii="Arial" w:cs="Arial" w:eastAsia="Arial" w:hAnsi="Arial"/>
          <w:sz w:val="15"/>
          <w:szCs w:val="15"/>
          <w:color w:val="auto"/>
        </w:rPr>
        <w:t>– $5,958,812 (consisting of $2,016,619 for his PSUs, $917,313 for his Share Options and $3,024,880 for his RSUs);</w:t>
      </w:r>
      <w:r>
        <w:rPr>
          <w:rFonts w:ascii="Arial" w:cs="Arial" w:eastAsia="Arial" w:hAnsi="Arial"/>
          <w:sz w:val="15"/>
          <w:szCs w:val="15"/>
          <w:b w:val="1"/>
          <w:bCs w:val="1"/>
          <w:color w:val="auto"/>
        </w:rPr>
        <w:t xml:space="preserve"> Dr. Steve Cutler </w:t>
      </w:r>
      <w:r>
        <w:rPr>
          <w:rFonts w:ascii="Arial" w:cs="Arial" w:eastAsia="Arial" w:hAnsi="Arial"/>
          <w:sz w:val="15"/>
          <w:szCs w:val="15"/>
          <w:color w:val="auto"/>
        </w:rPr>
        <w:t>– $3,331,522 (consisting of $1,127,479 for his PSUs, $512,872 for his Share Options and $1,691,171 for his RSUs); and</w:t>
      </w:r>
      <w:r>
        <w:rPr>
          <w:rFonts w:ascii="Arial" w:cs="Arial" w:eastAsia="Arial" w:hAnsi="Arial"/>
          <w:sz w:val="15"/>
          <w:szCs w:val="15"/>
          <w:b w:val="1"/>
          <w:bCs w:val="1"/>
          <w:color w:val="auto"/>
        </w:rPr>
        <w:t xml:space="preserve"> Mr. Brendan Brennan </w:t>
      </w:r>
      <w:r>
        <w:rPr>
          <w:rFonts w:ascii="Arial" w:cs="Arial" w:eastAsia="Arial" w:hAnsi="Arial"/>
          <w:sz w:val="15"/>
          <w:szCs w:val="15"/>
          <w:color w:val="auto"/>
        </w:rPr>
        <w:t>- $1,209,973 (consisting of $409,481 for his PSUs, $186,271 for his Share Options and $614,221 for his RSUs).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plan also provides that the executives must after vesting retain meaningful amounts of the relevant vested PSUs, share options and RSUs. The retention percentages (net of any taxes paid on vesting) are: Mr. Ciaran Murray – 50%; Dr Steve Cutler – 40% and Mr. Brendan Brennan – 33%. The Compensation &amp; Organization Committee have oversight of and discretion over the plan.</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ICON plc – Notice of Annual General Meeting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513080</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SUMMARY OF AGM RESOLUTIONS</w:t>
      </w:r>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There are 8 separate resolutions in total - 5 ordinary resolutions (which require approval of a simple majority of the votes cast in person or by proxy) and 3 special resolutions (which require approval of 75% of the votes cast in person or by proxy).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Ordinary Business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Resolution 1 </w:t>
      </w:r>
      <w:r>
        <w:rPr>
          <w:rFonts w:ascii="Arial" w:cs="Arial" w:eastAsia="Arial" w:hAnsi="Arial"/>
          <w:sz w:val="18"/>
          <w:szCs w:val="18"/>
          <w:color w:val="auto"/>
        </w:rPr>
        <w:t>– to re-elect, by separate resolutions, the following independent non-executive directors:</w:t>
      </w:r>
    </w:p>
    <w:p>
      <w:pPr>
        <w:spacing w:after="0" w:line="226" w:lineRule="exact"/>
        <w:rPr>
          <w:sz w:val="20"/>
          <w:szCs w:val="20"/>
          <w:color w:val="auto"/>
        </w:rPr>
      </w:pPr>
    </w:p>
    <w:p>
      <w:pPr>
        <w:jc w:val="both"/>
        <w:ind w:left="640"/>
        <w:spacing w:after="0" w:line="315" w:lineRule="auto"/>
        <w:rPr>
          <w:sz w:val="20"/>
          <w:szCs w:val="20"/>
          <w:color w:val="auto"/>
        </w:rPr>
      </w:pPr>
      <w:r>
        <w:rPr>
          <w:rFonts w:ascii="Arial" w:cs="Arial" w:eastAsia="Arial" w:hAnsi="Arial"/>
          <w:sz w:val="15"/>
          <w:szCs w:val="15"/>
          <w:b w:val="1"/>
          <w:bCs w:val="1"/>
          <w:color w:val="auto"/>
        </w:rPr>
        <w:t xml:space="preserve">Resolution 1.1 </w:t>
      </w:r>
      <w:r>
        <w:rPr>
          <w:rFonts w:ascii="Arial" w:cs="Arial" w:eastAsia="Arial" w:hAnsi="Arial"/>
          <w:sz w:val="15"/>
          <w:szCs w:val="15"/>
          <w:color w:val="auto"/>
        </w:rPr>
        <w:t>– re-election of Mr. Thomas Lynch as a director. Mr. Lynch is the Chairman of the Board, has been a non-executive director of ICON</w:t>
      </w:r>
      <w:r>
        <w:rPr>
          <w:rFonts w:ascii="Arial" w:cs="Arial" w:eastAsia="Arial" w:hAnsi="Arial"/>
          <w:sz w:val="15"/>
          <w:szCs w:val="15"/>
          <w:b w:val="1"/>
          <w:bCs w:val="1"/>
          <w:color w:val="auto"/>
        </w:rPr>
        <w:t xml:space="preserve"> </w:t>
      </w:r>
      <w:r>
        <w:rPr>
          <w:rFonts w:ascii="Arial" w:cs="Arial" w:eastAsia="Arial" w:hAnsi="Arial"/>
          <w:sz w:val="15"/>
          <w:szCs w:val="15"/>
          <w:color w:val="auto"/>
        </w:rPr>
        <w:t>since August 1994 and was Senior Independent Director from 2010 until 2012. Mr. Lynch has considerable experience in the pharmaceutical industry. He served as Chairman (2000 to 2009) and CEO (2007 to 2009) of Amarin Corporation and in a variety of senior roles in Elan Corporation (1993 to 2004). He was also a director of IDA Ireland (2001 to 2010) and the Royal Opera House (Covent Garden) (2001 to 2010). He currently serves as a director of GW Pharmaceuticals plc and Chairman of both the Dublin Academic Medical Centre and the Queens University of Belfast Foundation.</w:t>
      </w:r>
    </w:p>
    <w:p>
      <w:pPr>
        <w:spacing w:after="0" w:line="167" w:lineRule="exact"/>
        <w:rPr>
          <w:sz w:val="20"/>
          <w:szCs w:val="20"/>
          <w:color w:val="auto"/>
        </w:rPr>
      </w:pPr>
    </w:p>
    <w:p>
      <w:pPr>
        <w:jc w:val="both"/>
        <w:ind w:left="640"/>
        <w:spacing w:after="0" w:line="270" w:lineRule="auto"/>
        <w:rPr>
          <w:sz w:val="20"/>
          <w:szCs w:val="20"/>
          <w:color w:val="auto"/>
        </w:rPr>
      </w:pPr>
      <w:r>
        <w:rPr>
          <w:rFonts w:ascii="Arial" w:cs="Arial" w:eastAsia="Arial" w:hAnsi="Arial"/>
          <w:sz w:val="17"/>
          <w:szCs w:val="17"/>
          <w:b w:val="1"/>
          <w:bCs w:val="1"/>
          <w:color w:val="auto"/>
        </w:rPr>
        <w:t xml:space="preserve">Resolution 1.2 </w:t>
      </w:r>
      <w:r>
        <w:rPr>
          <w:rFonts w:ascii="Arial" w:cs="Arial" w:eastAsia="Arial" w:hAnsi="Arial"/>
          <w:sz w:val="17"/>
          <w:szCs w:val="17"/>
          <w:color w:val="auto"/>
        </w:rPr>
        <w:t>– re-election of Mr. Declan McKeon as a director. Mr. McKeon was appointed as ICON’s Senior Independent Director in February</w:t>
      </w:r>
      <w:r>
        <w:rPr>
          <w:rFonts w:ascii="Arial" w:cs="Arial" w:eastAsia="Arial" w:hAnsi="Arial"/>
          <w:sz w:val="17"/>
          <w:szCs w:val="17"/>
          <w:b w:val="1"/>
          <w:bCs w:val="1"/>
          <w:color w:val="auto"/>
        </w:rPr>
        <w:t xml:space="preserve"> </w:t>
      </w:r>
      <w:r>
        <w:rPr>
          <w:rFonts w:ascii="Arial" w:cs="Arial" w:eastAsia="Arial" w:hAnsi="Arial"/>
          <w:sz w:val="17"/>
          <w:szCs w:val="17"/>
          <w:color w:val="auto"/>
        </w:rPr>
        <w:t>2013, is Chairman of ICON’s Audit Committee and has been a non-executive director since April 2010. Mr. McKeon was a partner in PricewaterhouseCoopers until 2007. His roles included leadership of the audit and business advisory team for PricewaterhouseCoopers Ireland, membership on the PwC Europe audit and business advisory services executive and market sector lead for consumer and industrial products. Mr. McKeon is a non-executive director and Chairman of the Audit Committee of Ryanair plc.</w:t>
      </w:r>
    </w:p>
    <w:p>
      <w:pPr>
        <w:spacing w:after="0" w:line="200"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b w:val="1"/>
          <w:bCs w:val="1"/>
          <w:color w:val="auto"/>
        </w:rPr>
        <w:t xml:space="preserve">Resolution 1.3 </w:t>
      </w:r>
      <w:r>
        <w:rPr>
          <w:rFonts w:ascii="Arial" w:cs="Arial" w:eastAsia="Arial" w:hAnsi="Arial"/>
          <w:sz w:val="18"/>
          <w:szCs w:val="18"/>
          <w:color w:val="auto"/>
        </w:rPr>
        <w:t>– re-election of Prof. William Hall as a director. Prof. Hall was appointed as a non-executive director by the Board in February</w:t>
      </w:r>
      <w:r>
        <w:rPr>
          <w:rFonts w:ascii="Arial" w:cs="Arial" w:eastAsia="Arial" w:hAnsi="Arial"/>
          <w:sz w:val="18"/>
          <w:szCs w:val="18"/>
          <w:b w:val="1"/>
          <w:bCs w:val="1"/>
          <w:color w:val="auto"/>
        </w:rPr>
        <w:t xml:space="preserve"> </w:t>
      </w:r>
      <w:r>
        <w:rPr>
          <w:rFonts w:ascii="Arial" w:cs="Arial" w:eastAsia="Arial" w:hAnsi="Arial"/>
          <w:sz w:val="18"/>
          <w:szCs w:val="18"/>
          <w:color w:val="auto"/>
        </w:rPr>
        <w:t>2013. He is a renowned expert in infectious diseases and virology, is Chair of Medical Microbiology and Director of the Centre for Research in Infectious Diseases at University College Dublin’s (UCD) School of Medicine and Medical Science. He is also a director of UCD’s National Virus Reference Laboratory and is a consultant microbiologist at St. Vincent’s University Hospital Dublin. Professor Hall is a board member of The Atlantic Philanthropies and is a co-founder of the Global Virus Network.</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The Board has reviewed the performance of each of the directors, including a formal review of Board performance during 2012, and confirms that each of the directors standing for re-election are key to the provision of leadership and direction by the Board to the Company. Each director makes important contributions to the working of the Board, demonstrates the necessary commitment to the role and provides key financial and/or industry skills, knowledge and experience. The Board determined that none of these Directors have any conflict of interests which would impact on the performance their roles. Further information on the experience, qualifications and industry knowledge of the three directors is available from the Annual Report and/or Form 20-F at </w:t>
      </w:r>
      <w:r>
        <w:rPr>
          <w:rFonts w:ascii="Arial" w:cs="Arial" w:eastAsia="Arial" w:hAnsi="Arial"/>
          <w:sz w:val="18"/>
          <w:szCs w:val="18"/>
          <w:u w:val="single" w:color="auto"/>
          <w:color w:val="auto"/>
        </w:rPr>
        <w:t>http://investor.iconplc.com/annuals.cfm</w:t>
      </w:r>
      <w:r>
        <w:rPr>
          <w:rFonts w:ascii="Arial" w:cs="Arial" w:eastAsia="Arial" w:hAnsi="Arial"/>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Resolution 2 </w:t>
      </w:r>
      <w:r>
        <w:rPr>
          <w:rFonts w:ascii="Arial" w:cs="Arial" w:eastAsia="Arial" w:hAnsi="Arial"/>
          <w:sz w:val="18"/>
          <w:szCs w:val="18"/>
          <w:color w:val="auto"/>
        </w:rPr>
        <w:t>– to receive and consider ICON’s 2012 accounts which have been audited by KPMG, ICON’s independent auditors.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Resolution 3 </w:t>
      </w:r>
      <w:r>
        <w:rPr>
          <w:rFonts w:ascii="Arial" w:cs="Arial" w:eastAsia="Arial" w:hAnsi="Arial"/>
          <w:sz w:val="18"/>
          <w:szCs w:val="18"/>
          <w:color w:val="auto"/>
        </w:rPr>
        <w:t>– authorizes the directors to fix the remuneration of the auditors.</w:t>
      </w:r>
    </w:p>
    <w:p>
      <w:pPr>
        <w:spacing w:after="0" w:line="200" w:lineRule="exact"/>
        <w:rPr>
          <w:sz w:val="20"/>
          <w:szCs w:val="20"/>
          <w:color w:val="auto"/>
        </w:rPr>
      </w:pPr>
    </w:p>
    <w:p>
      <w:pPr>
        <w:spacing w:after="0" w:line="279"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7</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ICON plc – Notice of Annual General Meeting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408940</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Special Business</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special business of the meeting (resolutions 4 to 6) covers resolutions to authorize the Company to issue and buy back shares. These resolutions have been put to our shareholders on an annual basis for many years and are now considered standard business by most Irish public companies. From the broad business perspective, these resolutions give the directors commercially important flexibility to be able to issue and buy back shares. Looking back over recent years, the Company has only issued shares to satisfy the requirements of our employee share option and restricted stock plans (which, under Irish law, does not require shareholder approval and is not taken into account in calculating the caps below). The ability to issue share options and restricted stock allows us to attract, retain and reward our staff in a highly competitive market place.</w:t>
      </w:r>
    </w:p>
    <w:p>
      <w:pPr>
        <w:spacing w:after="0" w:line="21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Resolutions 4 to 6 also balance the NASDAQ rules and Irish company law which apply to the Company as it is an Irish incorporated company listed solely on NASDAQ.</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Resolution 4 </w:t>
      </w:r>
      <w:r>
        <w:rPr>
          <w:rFonts w:ascii="Arial" w:cs="Arial" w:eastAsia="Arial" w:hAnsi="Arial"/>
          <w:sz w:val="18"/>
          <w:szCs w:val="18"/>
          <w:color w:val="auto"/>
        </w:rPr>
        <w:t>– authorizes the directors to issue shares, subject to resolution 5, until 21 July 2018 up to an aggregate of 20% of the share capital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further shareholder approval. This resolution is required under Irish law as the Company is an Irish incorporated company and Irish law allows this resolution to give authority for a 5 year period (as this resolution does). The 20% cap on this resolution aligns the resolution with the NASDAQ rules which provide that up to 20% of share capital can be issued without shareholder approval.</w:t>
      </w:r>
    </w:p>
    <w:p>
      <w:pPr>
        <w:spacing w:after="0" w:line="21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directors have put a resolution to authorize the issue of shares to the shareholders every year since the Company was listed and each such resolution has been passed. The difference between this and previous resolutions is that this year the authority under the resolution lasts for 5 years instead of 1 year. This increase in duration of the authority gives shareholders increased anti-dilution protection as the effect of the increase is the Company can only issue 20% over the full 5 year period (an average of 4% per year over the 5 years instead of 20% per year as per the previous versions of this resolution).</w:t>
      </w:r>
    </w:p>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5"/>
          <w:szCs w:val="15"/>
          <w:b w:val="1"/>
          <w:bCs w:val="1"/>
          <w:color w:val="auto"/>
        </w:rPr>
        <w:t xml:space="preserve">Resolution 5 - </w:t>
      </w:r>
      <w:r>
        <w:rPr>
          <w:rFonts w:ascii="Arial" w:cs="Arial" w:eastAsia="Arial" w:hAnsi="Arial"/>
          <w:sz w:val="15"/>
          <w:szCs w:val="15"/>
          <w:color w:val="auto"/>
        </w:rPr>
        <w:t>authorizes the directors to issue shares, subject to resolution 4, until 21 July 2018 up to an aggregate of 20% of the share capital of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for cash without having to offer the shares to existing shareholders on a pro rata basis. This is a requirement of Irish law and there is no such requirement under the NASDAQ rules. A resolution authorizing the directors to issue shares without offer round has been passed at every AGM since the Company was listed and this year’s 20% cap reflects that the Company is now solely NASDAQ listed and the cap is in line with the NASDAQ rules (which do not have the offer round concept but do, as set out above, provide that up to 20% of shares can be issued without shareholder approval). Like resolution 4, the difference between this and previous resolutions is that this year the authority under this resolution lasts for 5 years instead of 1 year. Similar to resolution 4, this increase gives shareholders increased anti-dilution protection as the effect of the increase is the Company can only issue, without offer round to existing shareholders, 20% over the full 5 year period (an average of 4% per year over the 5 years instead of 5% per year as per last year’s version of this resolution).</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caps on resolutions 4 and 5 are different but complementary. The 20% cap on resolution 4 means shareholder approval is needed for any share issue or issues prior to 21 July 2018 which alone or together exceed 20% (including if shares are issued for cash or in exchange as part of an acquisition by ICON). The 20% cap on resolution 5 means the Company can, up to 21 July 2018, issue up to that 20% of ordinary share capital approved under resolution 4 for cash without offer round.</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Resolution 6 - </w:t>
      </w:r>
      <w:r>
        <w:rPr>
          <w:rFonts w:ascii="Arial" w:cs="Arial" w:eastAsia="Arial" w:hAnsi="Arial"/>
          <w:sz w:val="17"/>
          <w:szCs w:val="17"/>
          <w:color w:val="auto"/>
        </w:rPr>
        <w:t>authorizes the Company to purchase in the market (buy-back) up to 10% of the outstanding shares in the Company. It is important both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shareholders that the Company has this flexibility to implement a buy back (without having to seek further shareholder approval) if the market conditions favour a buy back. It should also be noted that the NASDAQ rules do not require shareholder approval to do a share buy-back and this resolution is required as the Company is an Irish incorporated company and Irish law requires shareholders to pass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21"/>
          <w:szCs w:val="21"/>
          <w:color w:val="auto"/>
        </w:rPr>
        <w:t>8</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ICON plc – Notice of Annual General Meeting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408940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1" w:name="page12"/>
    <w:bookmarkEnd w:id="11"/>
    <w:p>
      <w:pPr>
        <w:spacing w:after="0" w:line="265" w:lineRule="auto"/>
        <w:rPr>
          <w:sz w:val="20"/>
          <w:szCs w:val="20"/>
          <w:color w:val="auto"/>
        </w:rPr>
      </w:pPr>
      <w:r>
        <w:rPr>
          <w:rFonts w:ascii="Arial" w:cs="Arial" w:eastAsia="Arial" w:hAnsi="Arial"/>
          <w:sz w:val="18"/>
          <w:szCs w:val="18"/>
          <w:color w:val="auto"/>
        </w:rPr>
        <w:t>such a resolution to give directors the authority to put a buy back in place. The authority under this resolution expires on the earlier of the 2014 Annual General Meeting and 21 January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21"/>
          <w:szCs w:val="21"/>
          <w:color w:val="auto"/>
        </w:rPr>
        <w:t>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ICON plc – Notice of Annual General Meeting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408940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NOTICE OF ANNUAL GENERAL MEETING</w:t>
      </w:r>
    </w:p>
    <w:p>
      <w:pPr>
        <w:spacing w:after="0" w:line="244"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is hereby given that the Annual General Meeting of the Company will be held at ICON plc Headquarters, South County Business Park, Leopardstown,</w:t>
      </w:r>
      <w:r>
        <w:rPr>
          <w:rFonts w:ascii="Arial" w:cs="Arial" w:eastAsia="Arial" w:hAnsi="Arial"/>
          <w:sz w:val="18"/>
          <w:szCs w:val="18"/>
          <w:b w:val="1"/>
          <w:bCs w:val="1"/>
          <w:color w:val="auto"/>
        </w:rPr>
        <w:t xml:space="preserve"> </w:t>
      </w:r>
      <w:r>
        <w:rPr>
          <w:rFonts w:ascii="Arial" w:cs="Arial" w:eastAsia="Arial" w:hAnsi="Arial"/>
          <w:sz w:val="18"/>
          <w:szCs w:val="18"/>
          <w:color w:val="auto"/>
        </w:rPr>
        <w:t>Dublin 18, Ireland on 22 July 2013 at 8.30 a.m.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BUSINESS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To consider and, if thought fit, pass the following ordinary resolutions:</w:t>
      </w:r>
    </w:p>
    <w:p>
      <w:pPr>
        <w:spacing w:after="0" w:line="244" w:lineRule="exact"/>
        <w:rPr>
          <w:sz w:val="20"/>
          <w:szCs w:val="20"/>
          <w:color w:val="auto"/>
        </w:rPr>
      </w:pPr>
    </w:p>
    <w:p>
      <w:pPr>
        <w:ind w:left="640" w:hanging="634"/>
        <w:spacing w:after="0" w:line="26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re-elect, by separate resolutions, the following individuals who retire as Directors in accordance with the Articles of Association of the Company and, being eligible, offer themselves for re-election:</w:t>
      </w:r>
    </w:p>
    <w:p>
      <w:pPr>
        <w:spacing w:after="0" w:line="20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1.1  Mr. Thomas Lynch;</w:t>
      </w:r>
    </w:p>
    <w:p>
      <w:pPr>
        <w:spacing w:after="0" w:line="1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1.2  Mr. Declan McKeon; and</w:t>
      </w:r>
    </w:p>
    <w:p>
      <w:pPr>
        <w:spacing w:after="0" w:line="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1.3  Professor William Hall.</w:t>
      </w:r>
    </w:p>
    <w:p>
      <w:pPr>
        <w:spacing w:after="0" w:line="230" w:lineRule="exact"/>
        <w:rPr>
          <w:rFonts w:ascii="Arial" w:cs="Arial" w:eastAsia="Arial" w:hAnsi="Arial"/>
          <w:sz w:val="18"/>
          <w:szCs w:val="18"/>
          <w:color w:val="auto"/>
        </w:rPr>
      </w:pPr>
    </w:p>
    <w:p>
      <w:pPr>
        <w:ind w:left="640" w:hanging="63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receive and consider the accounts for the year ended 31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December 2012 and the reports of the Directors and auditors thereon.</w:t>
      </w:r>
    </w:p>
    <w:p>
      <w:pPr>
        <w:spacing w:after="0" w:line="176" w:lineRule="exact"/>
        <w:rPr>
          <w:rFonts w:ascii="Arial" w:cs="Arial" w:eastAsia="Arial" w:hAnsi="Arial"/>
          <w:sz w:val="18"/>
          <w:szCs w:val="18"/>
          <w:color w:val="auto"/>
        </w:rPr>
      </w:pPr>
    </w:p>
    <w:p>
      <w:pPr>
        <w:ind w:left="640" w:hanging="63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authorize the Directors to fix the remuneration of the auditors.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BUSINESS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To consider and, if thought fit, pass the following resolutions: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As an ordinary resolution:</w:t>
      </w:r>
    </w:p>
    <w:p>
      <w:pPr>
        <w:spacing w:after="0" w:line="244" w:lineRule="exact"/>
        <w:rPr>
          <w:sz w:val="20"/>
          <w:szCs w:val="20"/>
          <w:color w:val="auto"/>
        </w:rPr>
      </w:pPr>
    </w:p>
    <w:p>
      <w:pPr>
        <w:jc w:val="both"/>
        <w:ind w:left="640" w:hanging="634"/>
        <w:spacing w:after="0" w:line="235"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the Directors be and are hereby generally and unconditionally authorized to exercise all the powers of the Company to allot relevant securities (within the meaning of Section 20 of the Companies (Amendment) Act, 1983) up to a maximum amount equal to an aggregate nominal value of €729,869.86 representing 20% of the issued ordinary share capital of the Company on 11</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June 2013; provided that this authority shall expire on 21 July 2018, save that the Company may before such expiry make an offer or agreement which would or might require relevant securities to be allotted after such expiry and the Directors may allot relevant securities pursuant to such offer or agreement as if the authority conferred hereby had not expired.”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As a special resolution:</w:t>
      </w:r>
    </w:p>
    <w:p>
      <w:pPr>
        <w:spacing w:after="0" w:line="244" w:lineRule="exact"/>
        <w:rPr>
          <w:sz w:val="20"/>
          <w:szCs w:val="20"/>
          <w:color w:val="auto"/>
        </w:rPr>
      </w:pPr>
    </w:p>
    <w:p>
      <w:pPr>
        <w:jc w:val="both"/>
        <w:ind w:left="640" w:hanging="634"/>
        <w:spacing w:after="0" w:line="267"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“That, subject to the passing of Resolution 4, the Directors be and are hereby empowered pursuant to Section 24 of the Companies (Amendment) Act, 1983 to allot equity securities (as defined in Section 23 of that Act) for cash as if the provisions of sub-section (1) of the said Section 23 did not apply to any such allotment up to a maximum amount equal to an aggregate nominal value of €729,869.86 representing 20% of the issued ordinary share capital of the Company on 11</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June 2013; provided that this exclusion of the applicability of Section 23(1) of the Companies (Amendment) Act, 1983 shall expire on 21 July 2018, save that if before such expiry the Company has offered or agreed to allot equity securities, those equity securities may be allotted pursuant to such offer or agreement as if the exclusion contained herein had not expired.”</w:t>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10</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ICON plc – Notice of Annual General Meeting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408940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As a special resolution:</w:t>
      </w:r>
    </w:p>
    <w:p>
      <w:pPr>
        <w:spacing w:after="0" w:line="244" w:lineRule="exact"/>
        <w:rPr>
          <w:sz w:val="20"/>
          <w:szCs w:val="20"/>
          <w:color w:val="auto"/>
        </w:rPr>
      </w:pPr>
    </w:p>
    <w:p>
      <w:pPr>
        <w:jc w:val="both"/>
        <w:ind w:left="640" w:hanging="634"/>
        <w:spacing w:after="0" w:line="318" w:lineRule="auto"/>
        <w:tabs>
          <w:tab w:leader="none" w:pos="6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“That the Company and/or any subsidiary (as such expression is defined by Section 155 of the Companies Act, 1963) of the Company be and they are hereby generally authorised to make overseas market purchases (as defined by Section 212 of the Companies Act, 1990, as amended) of shares of any class of the Company on such terms and conditions and in such manner as the Directors or, as the case may be, the Directors of such subsidiary, may from time to time determine in accordance with and subject to the provisions of the Companies Act, 1990 and the following restrictions and provisions:</w:t>
      </w:r>
    </w:p>
    <w:p>
      <w:pPr>
        <w:spacing w:after="0" w:line="173" w:lineRule="exact"/>
        <w:rPr>
          <w:rFonts w:ascii="Arial" w:cs="Arial" w:eastAsia="Arial" w:hAnsi="Arial"/>
          <w:sz w:val="15"/>
          <w:szCs w:val="15"/>
          <w:color w:val="auto"/>
        </w:rPr>
      </w:pPr>
    </w:p>
    <w:p>
      <w:pPr>
        <w:ind w:left="980" w:hanging="338"/>
        <w:spacing w:after="0" w:line="265"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maximum aggregate number of shares authorised to be acquired pursuant to this resolution shall not exceed 10% of the aggregate number of shares issued by the Company at the close of business on date of passing of this resolution;</w:t>
      </w:r>
    </w:p>
    <w:p>
      <w:pPr>
        <w:spacing w:after="0" w:line="205" w:lineRule="exact"/>
        <w:rPr>
          <w:rFonts w:ascii="Arial" w:cs="Arial" w:eastAsia="Arial" w:hAnsi="Arial"/>
          <w:sz w:val="18"/>
          <w:szCs w:val="18"/>
          <w:color w:val="auto"/>
        </w:rPr>
      </w:pPr>
    </w:p>
    <w:p>
      <w:pPr>
        <w:ind w:left="980" w:hanging="338"/>
        <w:spacing w:after="0"/>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minimum price (exclusive of expenses) which may be paid for any such share shall be an amount equal to the nominal value thereof;</w:t>
      </w:r>
    </w:p>
    <w:p>
      <w:pPr>
        <w:spacing w:after="0" w:line="255" w:lineRule="exact"/>
        <w:rPr>
          <w:rFonts w:ascii="Arial" w:cs="Arial" w:eastAsia="Arial" w:hAnsi="Arial"/>
          <w:sz w:val="17"/>
          <w:szCs w:val="17"/>
          <w:color w:val="auto"/>
        </w:rPr>
      </w:pPr>
    </w:p>
    <w:p>
      <w:pPr>
        <w:jc w:val="both"/>
        <w:ind w:left="980" w:hanging="338"/>
        <w:spacing w:after="0" w:line="255"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maximum price (exclusive of expenses) to be paid for any ordinary share shall be an amount equal to 115% of the NASDAQ Official Close Price (the “NOCP”) (as reported by NASDAQ) of the Company’s ordinary shares on the trading day preceding the day on which the relevant shares are purchased by the Company.</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authority hereby conferred shall expire on the earlier of the date of the next Annual General Meeting of the Company or 21 January 2015 or (if earlier) unless previously varied, revoked or renewed in accordance with the provisions of section 215 of the Companies Act 1990. The Company or any subsidiary may before such expiry make a contract for the purchase of shares which would or might be wholly or partly executed after such expiry and may make a purchase of shares pursuant to any such contract as if the authority herby conferred had not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By the Order of the Board.</w:t>
            </w:r>
          </w:p>
        </w:tc>
        <w:tc>
          <w:tcPr>
            <w:tcW w:w="5160" w:type="dxa"/>
            <w:vAlign w:val="bottom"/>
          </w:tcPr>
          <w:p>
            <w:pPr>
              <w:spacing w:after="0"/>
              <w:rPr>
                <w:sz w:val="19"/>
                <w:szCs w:val="19"/>
                <w:color w:val="auto"/>
              </w:rPr>
            </w:pPr>
          </w:p>
        </w:tc>
      </w:tr>
      <w:tr>
        <w:trPr>
          <w:trHeight w:val="890"/>
        </w:trPr>
        <w:tc>
          <w:tcPr>
            <w:tcW w:w="6260" w:type="dxa"/>
            <w:vAlign w:val="bottom"/>
          </w:tcPr>
          <w:p>
            <w:pPr>
              <w:spacing w:after="0"/>
              <w:rPr>
                <w:sz w:val="20"/>
                <w:szCs w:val="20"/>
                <w:color w:val="auto"/>
              </w:rPr>
            </w:pPr>
            <w:r>
              <w:rPr>
                <w:rFonts w:ascii="Arial" w:cs="Arial" w:eastAsia="Arial" w:hAnsi="Arial"/>
                <w:sz w:val="18"/>
                <w:szCs w:val="18"/>
                <w:color w:val="auto"/>
              </w:rPr>
              <w:t>Diarmaid Cunningham</w:t>
            </w:r>
          </w:p>
        </w:tc>
        <w:tc>
          <w:tcPr>
            <w:tcW w:w="5160" w:type="dxa"/>
            <w:vAlign w:val="bottom"/>
          </w:tcPr>
          <w:p>
            <w:pPr>
              <w:spacing w:after="0"/>
              <w:rPr>
                <w:sz w:val="24"/>
                <w:szCs w:val="24"/>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Secretary</w:t>
            </w:r>
          </w:p>
        </w:tc>
        <w:tc>
          <w:tcPr>
            <w:tcW w:w="5160" w:type="dxa"/>
            <w:vAlign w:val="bottom"/>
          </w:tcPr>
          <w:p>
            <w:pPr>
              <w:jc w:val="right"/>
              <w:spacing w:after="0"/>
              <w:rPr>
                <w:sz w:val="20"/>
                <w:szCs w:val="20"/>
                <w:color w:val="auto"/>
              </w:rPr>
            </w:pPr>
            <w:r>
              <w:rPr>
                <w:rFonts w:ascii="Arial" w:cs="Arial" w:eastAsia="Arial" w:hAnsi="Arial"/>
                <w:sz w:val="18"/>
                <w:szCs w:val="18"/>
                <w:color w:val="auto"/>
              </w:rPr>
              <w:t>14 June, 2013</w:t>
            </w:r>
          </w:p>
        </w:tc>
      </w:tr>
      <w:tr>
        <w:trPr>
          <w:trHeight w:val="1155"/>
        </w:trPr>
        <w:tc>
          <w:tcPr>
            <w:tcW w:w="6260" w:type="dxa"/>
            <w:vAlign w:val="bottom"/>
          </w:tcPr>
          <w:p>
            <w:pPr>
              <w:spacing w:after="0"/>
              <w:rPr>
                <w:sz w:val="20"/>
                <w:szCs w:val="20"/>
                <w:color w:val="auto"/>
              </w:rPr>
            </w:pPr>
            <w:r>
              <w:rPr>
                <w:rFonts w:ascii="Arial" w:cs="Arial" w:eastAsia="Arial" w:hAnsi="Arial"/>
                <w:sz w:val="18"/>
                <w:szCs w:val="18"/>
                <w:color w:val="auto"/>
              </w:rPr>
              <w:t>Registered Office:</w:t>
            </w:r>
          </w:p>
        </w:tc>
        <w:tc>
          <w:tcPr>
            <w:tcW w:w="5160" w:type="dxa"/>
            <w:vAlign w:val="bottom"/>
          </w:tcPr>
          <w:p>
            <w:pPr>
              <w:spacing w:after="0"/>
              <w:rPr>
                <w:sz w:val="24"/>
                <w:szCs w:val="24"/>
                <w:color w:val="auto"/>
              </w:rPr>
            </w:pPr>
          </w:p>
        </w:tc>
      </w:tr>
      <w:tr>
        <w:trPr>
          <w:trHeight w:val="212"/>
        </w:trPr>
        <w:tc>
          <w:tcPr>
            <w:tcW w:w="6260" w:type="dxa"/>
            <w:vAlign w:val="bottom"/>
          </w:tcPr>
          <w:p>
            <w:pPr>
              <w:spacing w:after="0"/>
              <w:rPr>
                <w:sz w:val="20"/>
                <w:szCs w:val="20"/>
                <w:color w:val="auto"/>
              </w:rPr>
            </w:pPr>
            <w:r>
              <w:rPr>
                <w:rFonts w:ascii="Arial" w:cs="Arial" w:eastAsia="Arial" w:hAnsi="Arial"/>
                <w:sz w:val="18"/>
                <w:szCs w:val="18"/>
                <w:color w:val="auto"/>
              </w:rPr>
              <w:t>South County Business Park,</w:t>
            </w:r>
          </w:p>
        </w:tc>
        <w:tc>
          <w:tcPr>
            <w:tcW w:w="5160" w:type="dxa"/>
            <w:vAlign w:val="bottom"/>
          </w:tcPr>
          <w:p>
            <w:pPr>
              <w:spacing w:after="0"/>
              <w:rPr>
                <w:sz w:val="18"/>
                <w:szCs w:val="18"/>
                <w:color w:val="auto"/>
              </w:rPr>
            </w:pPr>
          </w:p>
        </w:tc>
      </w:tr>
      <w:tr>
        <w:trPr>
          <w:trHeight w:val="212"/>
        </w:trPr>
        <w:tc>
          <w:tcPr>
            <w:tcW w:w="6260" w:type="dxa"/>
            <w:vAlign w:val="bottom"/>
          </w:tcPr>
          <w:p>
            <w:pPr>
              <w:spacing w:after="0"/>
              <w:rPr>
                <w:sz w:val="20"/>
                <w:szCs w:val="20"/>
                <w:color w:val="auto"/>
              </w:rPr>
            </w:pPr>
            <w:r>
              <w:rPr>
                <w:rFonts w:ascii="Arial" w:cs="Arial" w:eastAsia="Arial" w:hAnsi="Arial"/>
                <w:sz w:val="18"/>
                <w:szCs w:val="18"/>
                <w:color w:val="auto"/>
              </w:rPr>
              <w:t>Leopardstown,</w:t>
            </w:r>
          </w:p>
        </w:tc>
        <w:tc>
          <w:tcPr>
            <w:tcW w:w="5160" w:type="dxa"/>
            <w:vAlign w:val="bottom"/>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Dublin 18</w:t>
            </w:r>
          </w:p>
        </w:tc>
        <w:tc>
          <w:tcPr>
            <w:tcW w:w="5160" w:type="dxa"/>
            <w:vAlign w:val="bottom"/>
          </w:tcPr>
          <w:p>
            <w:pPr>
              <w:spacing w:after="0"/>
              <w:rPr>
                <w:sz w:val="19"/>
                <w:szCs w:val="19"/>
                <w:color w:val="auto"/>
              </w:rPr>
            </w:pPr>
          </w:p>
        </w:tc>
      </w:tr>
      <w:tr>
        <w:trPr>
          <w:trHeight w:val="721"/>
        </w:trPr>
        <w:tc>
          <w:tcPr>
            <w:tcW w:w="6260" w:type="dxa"/>
            <w:vAlign w:val="bottom"/>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21"/>
                <w:szCs w:val="21"/>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-2308860</wp:posOffset>
            </wp:positionV>
            <wp:extent cx="1052195" cy="43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2195" cy="4375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ICON plc – Notice of Annual General Meeting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408940</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NOTES:</w:t>
      </w:r>
    </w:p>
    <w:p>
      <w:pPr>
        <w:spacing w:after="0" w:line="244" w:lineRule="exact"/>
        <w:rPr>
          <w:sz w:val="20"/>
          <w:szCs w:val="20"/>
          <w:color w:val="auto"/>
        </w:rPr>
      </w:pPr>
    </w:p>
    <w:p>
      <w:pPr>
        <w:ind w:left="720" w:hanging="714"/>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and Documentation</w:t>
      </w:r>
    </w:p>
    <w:p>
      <w:pPr>
        <w:spacing w:after="0" w:line="22" w:lineRule="exact"/>
        <w:rPr>
          <w:sz w:val="20"/>
          <w:szCs w:val="20"/>
          <w:color w:val="auto"/>
        </w:rPr>
      </w:pPr>
    </w:p>
    <w:p>
      <w:pPr>
        <w:ind w:left="640"/>
        <w:spacing w:after="0" w:line="251" w:lineRule="auto"/>
        <w:rPr>
          <w:sz w:val="20"/>
          <w:szCs w:val="20"/>
          <w:color w:val="auto"/>
        </w:rPr>
      </w:pPr>
      <w:r>
        <w:rPr>
          <w:rFonts w:ascii="Arial" w:cs="Arial" w:eastAsia="Arial" w:hAnsi="Arial"/>
          <w:sz w:val="18"/>
          <w:szCs w:val="18"/>
          <w:color w:val="auto"/>
        </w:rPr>
        <w:t xml:space="preserve">Information regarding the Annual Meeting is available on the Company’s website </w:t>
      </w:r>
      <w:r>
        <w:rPr>
          <w:rFonts w:ascii="Arial" w:cs="Arial" w:eastAsia="Arial" w:hAnsi="Arial"/>
          <w:sz w:val="18"/>
          <w:szCs w:val="18"/>
          <w:u w:val="single" w:color="auto"/>
          <w:color w:val="auto"/>
        </w:rPr>
        <w:t>www.iconplc.com</w:t>
      </w:r>
      <w:r>
        <w:rPr>
          <w:rFonts w:ascii="Arial" w:cs="Arial" w:eastAsia="Arial" w:hAnsi="Arial"/>
          <w:sz w:val="18"/>
          <w:szCs w:val="18"/>
          <w:color w:val="auto"/>
        </w:rPr>
        <w:t xml:space="preserve"> and from </w:t>
      </w:r>
      <w:r>
        <w:rPr>
          <w:rFonts w:ascii="Arial" w:cs="Arial" w:eastAsia="Arial" w:hAnsi="Arial"/>
          <w:sz w:val="18"/>
          <w:szCs w:val="18"/>
          <w:u w:val="single" w:color="auto"/>
          <w:color w:val="auto"/>
        </w:rPr>
        <w:t>www.proxyvote.com</w:t>
      </w:r>
      <w:r>
        <w:rPr>
          <w:rFonts w:ascii="Arial" w:cs="Arial" w:eastAsia="Arial" w:hAnsi="Arial"/>
          <w:sz w:val="18"/>
          <w:szCs w:val="18"/>
          <w:color w:val="auto"/>
        </w:rPr>
        <w:t>. If you require a paper copy of the Form 20-F or Annual Report please contact Investor Relations at 1-888-381-7923 or IR@iconplc.com.</w:t>
      </w:r>
    </w:p>
    <w:p>
      <w:pPr>
        <w:spacing w:after="0" w:line="213" w:lineRule="exact"/>
        <w:rPr>
          <w:sz w:val="20"/>
          <w:szCs w:val="20"/>
          <w:color w:val="auto"/>
        </w:rPr>
      </w:pPr>
    </w:p>
    <w:p>
      <w:pPr>
        <w:ind w:left="640" w:hanging="634"/>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Who is eligible to vote and how?</w:t>
      </w:r>
    </w:p>
    <w:p>
      <w:pPr>
        <w:spacing w:after="0" w:line="22" w:lineRule="exact"/>
        <w:rPr>
          <w:rFonts w:ascii="Arial" w:cs="Arial" w:eastAsia="Arial" w:hAnsi="Arial"/>
          <w:sz w:val="18"/>
          <w:szCs w:val="18"/>
          <w:b w:val="1"/>
          <w:bCs w:val="1"/>
          <w:color w:val="auto"/>
        </w:rPr>
      </w:pPr>
    </w:p>
    <w:p>
      <w:pPr>
        <w:jc w:val="both"/>
        <w:ind w:left="640"/>
        <w:spacing w:after="0" w:line="306" w:lineRule="auto"/>
        <w:rPr>
          <w:rFonts w:ascii="Arial" w:cs="Arial" w:eastAsia="Arial" w:hAnsi="Arial"/>
          <w:sz w:val="18"/>
          <w:szCs w:val="18"/>
          <w:b w:val="1"/>
          <w:bCs w:val="1"/>
          <w:color w:val="auto"/>
        </w:rPr>
      </w:pPr>
      <w:r>
        <w:rPr>
          <w:rFonts w:ascii="Arial" w:cs="Arial" w:eastAsia="Arial" w:hAnsi="Arial"/>
          <w:sz w:val="15"/>
          <w:szCs w:val="15"/>
          <w:color w:val="auto"/>
        </w:rPr>
        <w:t>If your shares are actually registered in your name, you are a shareholder of record. Shareholders of record who are entered in the register of Members of the Company as at 4.59pm Dublin time on 18 July 2013 or if the Meeting is adjourned, at 4.59pm Dublin time on the day that falls 48 hours before the time appointed for the adjourned meeting shall be entitled to attend, speak, ask questions and vote at the Meeting, or if relevant, any adjournment thereof. Changes in the register after that time will be disregarded in determining the right of any person to attend and/or vote at the meeting. For those shareholders whose shares are not held in their name, but rather in an account at a brokerage firm, bank, dealer or other similar organization, who in turn hold through The Depository Trust Company (“DTC”), then their entitlement to vote is determined as at 29 May 2013.</w:t>
      </w:r>
    </w:p>
    <w:p>
      <w:pPr>
        <w:spacing w:after="0" w:line="18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5"/>
          <w:szCs w:val="15"/>
          <w:color w:val="auto"/>
        </w:rPr>
        <w:t>Depending on whether your shares are registered in your name or whether your shares are held in a "street name" the arrangements are as follows:</w:t>
      </w:r>
    </w:p>
    <w:p>
      <w:pPr>
        <w:spacing w:after="0" w:line="27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Shareholder of Record: Shares Registered in Your Name</w:t>
      </w:r>
    </w:p>
    <w:p>
      <w:pPr>
        <w:spacing w:after="0" w:line="243" w:lineRule="exact"/>
        <w:rPr>
          <w:rFonts w:ascii="Arial" w:cs="Arial" w:eastAsia="Arial" w:hAnsi="Arial"/>
          <w:sz w:val="18"/>
          <w:szCs w:val="18"/>
          <w:b w:val="1"/>
          <w:bCs w:val="1"/>
          <w:color w:val="auto"/>
        </w:rPr>
      </w:pPr>
    </w:p>
    <w:p>
      <w:pPr>
        <w:jc w:val="both"/>
        <w:ind w:left="64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As a shareholder of record, you may vote in person at the Annual Meeting or vote by proxy. In the case of joint holders the vote of the senior member who tenders a vote, whether in person or by proxy, shall be accepted to the exclusion of the votes of the other shareholder of record and, for this purpose, seniority shall be determined by the order in which the names stand in the Register of Members in respect of the joint holding. The appointment of a proxy will not preclude a shareholder of record from attending, speaking, asking questions and voting at the meeting should the shareholder subsequently wish to do so. A proxy need not be a Member of the Company. If you wish to appoint more than one proxy or a person not listed on the form of proxy, please contact Investor Relations at 1-888-381-7923 or IR@iconplc.com.</w:t>
      </w:r>
    </w:p>
    <w:p>
      <w:pPr>
        <w:spacing w:after="0" w:line="206" w:lineRule="exact"/>
        <w:rPr>
          <w:rFonts w:ascii="Arial" w:cs="Arial" w:eastAsia="Arial" w:hAnsi="Arial"/>
          <w:sz w:val="18"/>
          <w:szCs w:val="18"/>
          <w:b w:val="1"/>
          <w:bCs w:val="1"/>
          <w:color w:val="auto"/>
        </w:rPr>
      </w:pPr>
    </w:p>
    <w:p>
      <w:pPr>
        <w:jc w:val="both"/>
        <w:ind w:left="640"/>
        <w:spacing w:after="0" w:line="309" w:lineRule="auto"/>
        <w:rPr>
          <w:rFonts w:ascii="Arial" w:cs="Arial" w:eastAsia="Arial" w:hAnsi="Arial"/>
          <w:sz w:val="18"/>
          <w:szCs w:val="18"/>
          <w:b w:val="1"/>
          <w:bCs w:val="1"/>
          <w:color w:val="auto"/>
        </w:rPr>
      </w:pPr>
      <w:r>
        <w:rPr>
          <w:rFonts w:ascii="Arial" w:cs="Arial" w:eastAsia="Arial" w:hAnsi="Arial"/>
          <w:sz w:val="15"/>
          <w:szCs w:val="15"/>
          <w:color w:val="auto"/>
        </w:rPr>
        <w:t>A Form of Proxy is enclosed with this notice of Meeting for shareholders of record. To be effective, the Form of Proxy duly completed and executed, together with any authority under which it is executed, or a copy thereof certified, must be deposited at the registered office of the Company or, at the member’s option, Vote Processing, c/o Broadridge, 51 Mercedes Way, Edgewood, NY 11717, so as to be received no later than 4.59pm Dublin time on 18 July 2013 or if the Annual Meeting is adjourned, at 4.59pm Dublin time on the day that falls 48 hours before the time appointed for the adjourned Meeting or (in the case of a poll taken otherwise than at or on the same day as the Annual Meeting or adjourned Meeting) at least 48 hours before the taking of the poll at which it is to be used. Any alteration to the Form of Proxy must be initialed by the person who signs it.</w:t>
      </w:r>
    </w:p>
    <w:p>
      <w:pPr>
        <w:spacing w:after="0" w:line="179" w:lineRule="exact"/>
        <w:rPr>
          <w:rFonts w:ascii="Arial" w:cs="Arial" w:eastAsia="Arial" w:hAnsi="Arial"/>
          <w:sz w:val="18"/>
          <w:szCs w:val="18"/>
          <w:b w:val="1"/>
          <w:bCs w:val="1"/>
          <w:color w:val="auto"/>
        </w:rPr>
      </w:pPr>
    </w:p>
    <w:p>
      <w:pPr>
        <w:jc w:val="both"/>
        <w:ind w:left="640"/>
        <w:spacing w:after="0" w:line="249" w:lineRule="auto"/>
        <w:rPr>
          <w:rFonts w:ascii="Arial" w:cs="Arial" w:eastAsia="Arial" w:hAnsi="Arial"/>
          <w:sz w:val="18"/>
          <w:szCs w:val="18"/>
          <w:b w:val="1"/>
          <w:bCs w:val="1"/>
          <w:color w:val="auto"/>
        </w:rPr>
      </w:pPr>
      <w:r>
        <w:rPr>
          <w:rFonts w:ascii="Arial" w:cs="Arial" w:eastAsia="Arial" w:hAnsi="Arial"/>
          <w:sz w:val="18"/>
          <w:szCs w:val="18"/>
          <w:color w:val="auto"/>
        </w:rPr>
        <w:t xml:space="preserve">Alternatively, provided it is received no later than 4.59pm Dublin time on 18 July 2013 or if the Annual Meeting is adjourned, at 4.59pm Dublin time on the day that falls 48 hours before the time appointed for the adjourned Annual Meeting or (in the case of a poll taken otherwise than at or on the same day as the Annual Meeting or adjourned Annual Meeting) at least 48 hours before the taking of the poll at which it is to be used, the appointment of a proxy may be submitted electronically, subject to the applicable terms and conditions, via the Internet by accessing Broadridge’s website </w:t>
      </w:r>
      <w:r>
        <w:rPr>
          <w:rFonts w:ascii="Arial" w:cs="Arial" w:eastAsia="Arial" w:hAnsi="Arial"/>
          <w:sz w:val="18"/>
          <w:szCs w:val="18"/>
          <w:b w:val="1"/>
          <w:bCs w:val="1"/>
          <w:color w:val="auto"/>
        </w:rPr>
        <w:t xml:space="preserve">www.proxyvote.com </w:t>
      </w:r>
      <w:r>
        <w:rPr>
          <w:rFonts w:ascii="Arial" w:cs="Arial" w:eastAsia="Arial" w:hAnsi="Arial"/>
          <w:sz w:val="18"/>
          <w:szCs w:val="18"/>
          <w:color w:val="auto"/>
        </w:rPr>
        <w:t>and, when you follow the instructions on the website, the information you need to appoint your proxy electronically is included</w:t>
      </w:r>
      <w:r>
        <w:rPr>
          <w:rFonts w:ascii="Arial" w:cs="Arial" w:eastAsia="Arial" w:hAnsi="Arial"/>
          <w:sz w:val="18"/>
          <w:szCs w:val="18"/>
          <w:b w:val="1"/>
          <w:bCs w:val="1"/>
          <w:color w:val="auto"/>
        </w:rPr>
        <w:t xml:space="preserve"> </w:t>
      </w:r>
      <w:r>
        <w:rPr>
          <w:rFonts w:ascii="Arial" w:cs="Arial" w:eastAsia="Arial" w:hAnsi="Arial"/>
          <w:sz w:val="18"/>
          <w:szCs w:val="18"/>
          <w:color w:val="auto"/>
        </w:rPr>
        <w:t>on the top of your Form of Proxy.</w:t>
      </w:r>
    </w:p>
    <w:p>
      <w:pPr>
        <w:spacing w:after="0" w:line="22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5"/>
          <w:szCs w:val="15"/>
          <w:color w:val="auto"/>
        </w:rPr>
        <w:t>In the case of a corporation the Form of Proxy must be either executed under seal or signed on its behalf by a duly authorized officer or attorney.</w:t>
      </w:r>
    </w:p>
    <w:p>
      <w:pPr>
        <w:spacing w:after="0" w:line="27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Beneficial Owner: Shares Registered in the Name of a Broker, Bank or Other Agent</w:t>
      </w:r>
    </w:p>
    <w:p>
      <w:pPr>
        <w:spacing w:after="0" w:line="243" w:lineRule="exact"/>
        <w:rPr>
          <w:rFonts w:ascii="Arial" w:cs="Arial" w:eastAsia="Arial" w:hAnsi="Arial"/>
          <w:sz w:val="18"/>
          <w:szCs w:val="18"/>
          <w:b w:val="1"/>
          <w:bCs w:val="1"/>
          <w:color w:val="auto"/>
        </w:rPr>
      </w:pPr>
    </w:p>
    <w:p>
      <w:pPr>
        <w:jc w:val="both"/>
        <w:ind w:left="640"/>
        <w:spacing w:after="0" w:line="318" w:lineRule="auto"/>
        <w:rPr>
          <w:rFonts w:ascii="Arial" w:cs="Arial" w:eastAsia="Arial" w:hAnsi="Arial"/>
          <w:sz w:val="18"/>
          <w:szCs w:val="18"/>
          <w:b w:val="1"/>
          <w:bCs w:val="1"/>
          <w:color w:val="auto"/>
        </w:rPr>
      </w:pPr>
      <w:r>
        <w:rPr>
          <w:rFonts w:ascii="Arial" w:cs="Arial" w:eastAsia="Arial" w:hAnsi="Arial"/>
          <w:sz w:val="15"/>
          <w:szCs w:val="15"/>
          <w:color w:val="auto"/>
        </w:rPr>
        <w:t xml:space="preserve">If, as at 29 May 2013 your shares were not held in your name, but rather in an account at a brokerage firm, bank, dealer or other similar organization, who in turn hold through The Depository Trust Company (“DTC”), then you are the beneficial owner of shares held in “street name” and these proxy materials are being forwarded to you by that organization, together with instructions as to voting. </w:t>
      </w:r>
      <w:r>
        <w:rPr>
          <w:rFonts w:ascii="Arial" w:cs="Arial" w:eastAsia="Arial" w:hAnsi="Arial"/>
          <w:sz w:val="15"/>
          <w:szCs w:val="15"/>
          <w:b w:val="1"/>
          <w:bCs w:val="1"/>
          <w:color w:val="auto"/>
        </w:rPr>
        <w:t>You will need to carefully follow the instructions</w:t>
      </w:r>
      <w:r>
        <w:rPr>
          <w:rFonts w:ascii="Arial" w:cs="Arial" w:eastAsia="Arial" w:hAnsi="Arial"/>
          <w:sz w:val="15"/>
          <w:szCs w:val="15"/>
          <w:color w:val="auto"/>
        </w:rPr>
        <w:t xml:space="preserve"> </w:t>
      </w:r>
      <w:r>
        <w:rPr>
          <w:rFonts w:ascii="Arial" w:cs="Arial" w:eastAsia="Arial" w:hAnsi="Arial"/>
          <w:sz w:val="15"/>
          <w:szCs w:val="15"/>
          <w:b w:val="1"/>
          <w:bCs w:val="1"/>
          <w:color w:val="auto"/>
        </w:rPr>
        <w:t>from your broker, bank or other agent or contact your broker, bank or other agent if you have any queries.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ICON plc – Notice of Annual General Meeting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408940</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5" w:name="page16"/>
    <w:bookmarkEnd w:id="15"/>
    <w:p>
      <w:pPr>
        <w:jc w:val="both"/>
        <w:ind w:left="640"/>
        <w:spacing w:after="0" w:line="277" w:lineRule="auto"/>
        <w:rPr>
          <w:sz w:val="20"/>
          <w:szCs w:val="20"/>
          <w:color w:val="auto"/>
        </w:rPr>
      </w:pPr>
      <w:r>
        <w:rPr>
          <w:rFonts w:ascii="Arial" w:cs="Arial" w:eastAsia="Arial" w:hAnsi="Arial"/>
          <w:sz w:val="17"/>
          <w:szCs w:val="17"/>
          <w:color w:val="auto"/>
        </w:rPr>
        <w:t>As a beneficial owner, you have the right to direct your broker or other agent on how to vote the shares in your account as per the instructions enclosed by your broker. You are also invited to attend the Annual Meeting. However, since you are not the shareholder of record, you may not vote your shares in person at the Annual Meeting unless you contact your broker and obtain a valid proxy card from your broker or other agent.</w:t>
      </w:r>
    </w:p>
    <w:p>
      <w:pPr>
        <w:spacing w:after="0" w:line="198" w:lineRule="exact"/>
        <w:rPr>
          <w:sz w:val="20"/>
          <w:szCs w:val="20"/>
          <w:color w:val="auto"/>
        </w:rPr>
      </w:pPr>
    </w:p>
    <w:p>
      <w:pPr>
        <w:jc w:val="both"/>
        <w:ind w:left="640"/>
        <w:spacing w:after="0" w:line="277" w:lineRule="auto"/>
        <w:rPr>
          <w:sz w:val="20"/>
          <w:szCs w:val="20"/>
          <w:color w:val="auto"/>
        </w:rPr>
      </w:pPr>
      <w:r>
        <w:rPr>
          <w:rFonts w:ascii="Arial" w:cs="Arial" w:eastAsia="Arial" w:hAnsi="Arial"/>
          <w:sz w:val="17"/>
          <w:szCs w:val="17"/>
          <w:color w:val="auto"/>
        </w:rPr>
        <w:t>Therefore as a beneficial owner of shares registered in the name of your broker, bank or other agent, who in turn hold through DTC, you should have received a voting instruction card and voting instructions with these proxy materials from that organization rather than from us. Simply complete and mail the voting instruction card as per the instructions from your broker, bank or other agent to ensure that your vote is counted.</w:t>
      </w:r>
    </w:p>
    <w:p>
      <w:pPr>
        <w:spacing w:after="0" w:line="192" w:lineRule="exact"/>
        <w:rPr>
          <w:sz w:val="20"/>
          <w:szCs w:val="20"/>
          <w:color w:val="auto"/>
        </w:rPr>
      </w:pPr>
    </w:p>
    <w:p>
      <w:pPr>
        <w:ind w:left="640" w:hanging="634"/>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you have?</w:t>
      </w:r>
    </w:p>
    <w:p>
      <w:pPr>
        <w:spacing w:after="0" w:line="22" w:lineRule="exact"/>
        <w:rPr>
          <w:rFonts w:ascii="Arial" w:cs="Arial" w:eastAsia="Arial" w:hAnsi="Arial"/>
          <w:sz w:val="18"/>
          <w:szCs w:val="18"/>
          <w:b w:val="1"/>
          <w:bCs w:val="1"/>
          <w:color w:val="auto"/>
        </w:rPr>
      </w:pPr>
    </w:p>
    <w:p>
      <w:pPr>
        <w:jc w:val="both"/>
        <w:ind w:left="640"/>
        <w:spacing w:after="0" w:line="230" w:lineRule="auto"/>
        <w:rPr>
          <w:rFonts w:ascii="Arial" w:cs="Arial" w:eastAsia="Arial" w:hAnsi="Arial"/>
          <w:sz w:val="18"/>
          <w:szCs w:val="18"/>
          <w:b w:val="1"/>
          <w:bCs w:val="1"/>
          <w:color w:val="auto"/>
        </w:rPr>
      </w:pPr>
      <w:r>
        <w:rPr>
          <w:rFonts w:ascii="Arial" w:cs="Arial" w:eastAsia="Arial" w:hAnsi="Arial"/>
          <w:sz w:val="18"/>
          <w:szCs w:val="18"/>
          <w:color w:val="auto"/>
        </w:rPr>
        <w:t>The total number of issued ordinary shares on 11</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June 2013 was 60,822,488. On a vote on a show of hands, every shareholder present in person and every proxy has one vote (but no individual shall have more than one vote). On a poll every shareholder present in person and every proxy shall have one vote for every share carrying rights of which he is the holder or proxy. Ordinary Resolutions are required to be passed by a simple majority of shareholders voting in person or by proxy. Special Resolutions are required to be passed by a majority of 75 per cent of shareholders voting in person or by proxy.</w:t>
      </w:r>
    </w:p>
    <w:p>
      <w:pPr>
        <w:spacing w:after="0" w:line="224" w:lineRule="exact"/>
        <w:rPr>
          <w:rFonts w:ascii="Arial" w:cs="Arial" w:eastAsia="Arial" w:hAnsi="Arial"/>
          <w:sz w:val="18"/>
          <w:szCs w:val="18"/>
          <w:b w:val="1"/>
          <w:bCs w:val="1"/>
          <w:color w:val="auto"/>
        </w:rPr>
      </w:pPr>
    </w:p>
    <w:p>
      <w:pPr>
        <w:ind w:left="660" w:hanging="65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Broker Voting</w:t>
      </w:r>
    </w:p>
    <w:p>
      <w:pPr>
        <w:spacing w:after="0" w:line="22" w:lineRule="exact"/>
        <w:rPr>
          <w:sz w:val="20"/>
          <w:szCs w:val="20"/>
          <w:color w:val="auto"/>
        </w:rPr>
      </w:pPr>
    </w:p>
    <w:p>
      <w:pPr>
        <w:jc w:val="both"/>
        <w:ind w:left="640"/>
        <w:spacing w:after="0" w:line="313" w:lineRule="auto"/>
        <w:rPr>
          <w:sz w:val="20"/>
          <w:szCs w:val="20"/>
          <w:color w:val="auto"/>
        </w:rPr>
      </w:pPr>
      <w:r>
        <w:rPr>
          <w:rFonts w:ascii="Arial" w:cs="Arial" w:eastAsia="Arial" w:hAnsi="Arial"/>
          <w:sz w:val="15"/>
          <w:szCs w:val="15"/>
          <w:color w:val="auto"/>
        </w:rPr>
        <w:t xml:space="preserve">If your shares are held by a broker on your behalf (that is, in “street name”), and you do not instruct the broker as to how to vote these shares on Resolutions No. 1.1, 1.2, 1.3, 4, 5, and 6, the broker may not exercise discretion to vote for or against those proposals. This would be a “broker non-vote” and these shares will not be counted as having been voted on the applicable proposal. With respect to Resolution No. 3, the broker may exercise its discretion to vote for or against that proposal in the absence of your instruction. </w:t>
      </w:r>
      <w:r>
        <w:rPr>
          <w:rFonts w:ascii="Arial" w:cs="Arial" w:eastAsia="Arial" w:hAnsi="Arial"/>
          <w:sz w:val="15"/>
          <w:szCs w:val="15"/>
          <w:b w:val="1"/>
          <w:bCs w:val="1"/>
          <w:color w:val="auto"/>
        </w:rPr>
        <w:t>Please instruct your bank or broker so your vote can be counted</w:t>
      </w:r>
      <w:r>
        <w:rPr>
          <w:rFonts w:ascii="Arial" w:cs="Arial" w:eastAsia="Arial" w:hAnsi="Arial"/>
          <w:sz w:val="15"/>
          <w:szCs w:val="15"/>
          <w:color w:val="auto"/>
        </w:rPr>
        <w:t>.</w:t>
      </w:r>
    </w:p>
    <w:p>
      <w:pPr>
        <w:spacing w:after="0" w:line="170" w:lineRule="exact"/>
        <w:rPr>
          <w:sz w:val="20"/>
          <w:szCs w:val="20"/>
          <w:color w:val="auto"/>
        </w:rPr>
      </w:pPr>
    </w:p>
    <w:p>
      <w:pPr>
        <w:ind w:left="640" w:right="6640" w:hanging="634"/>
        <w:spacing w:after="0" w:line="307" w:lineRule="auto"/>
        <w:tabs>
          <w:tab w:leader="none" w:pos="666"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Can I change my vote after submitting my proxy? </w:t>
      </w:r>
      <w:r>
        <w:rPr>
          <w:rFonts w:ascii="Arial" w:cs="Arial" w:eastAsia="Arial" w:hAnsi="Arial"/>
          <w:sz w:val="15"/>
          <w:szCs w:val="15"/>
          <w:b w:val="1"/>
          <w:bCs w:val="1"/>
          <w:i w:val="1"/>
          <w:iCs w:val="1"/>
          <w:color w:val="auto"/>
        </w:rPr>
        <w:t>Shareholder of Record: Shares Registered in Your Name</w:t>
      </w:r>
    </w:p>
    <w:p>
      <w:pPr>
        <w:ind w:left="640"/>
        <w:spacing w:after="0" w:line="251" w:lineRule="auto"/>
        <w:rPr>
          <w:rFonts w:ascii="Arial" w:cs="Arial" w:eastAsia="Arial" w:hAnsi="Arial"/>
          <w:sz w:val="15"/>
          <w:szCs w:val="15"/>
          <w:b w:val="1"/>
          <w:bCs w:val="1"/>
          <w:color w:val="auto"/>
        </w:rPr>
      </w:pPr>
      <w:r>
        <w:rPr>
          <w:rFonts w:ascii="Arial" w:cs="Arial" w:eastAsia="Arial" w:hAnsi="Arial"/>
          <w:sz w:val="18"/>
          <w:szCs w:val="18"/>
          <w:color w:val="auto"/>
        </w:rPr>
        <w:t>Yes. You can revoke your proxy at any time before the final vote at the Annual Meeting. If you are the record holder of your shares, you may revoke your proxy in any one of three ways:</w:t>
      </w:r>
    </w:p>
    <w:p>
      <w:pPr>
        <w:spacing w:after="0" w:line="218" w:lineRule="exact"/>
        <w:rPr>
          <w:rFonts w:ascii="Arial" w:cs="Arial" w:eastAsia="Arial" w:hAnsi="Arial"/>
          <w:sz w:val="15"/>
          <w:szCs w:val="15"/>
          <w:b w:val="1"/>
          <w:bCs w:val="1"/>
          <w:color w:val="auto"/>
        </w:rPr>
      </w:pPr>
    </w:p>
    <w:p>
      <w:pPr>
        <w:ind w:left="1300" w:hanging="353"/>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You may submit another properly completed proxy with a later date;</w:t>
      </w:r>
    </w:p>
    <w:p>
      <w:pPr>
        <w:spacing w:after="0" w:line="243" w:lineRule="exact"/>
        <w:rPr>
          <w:rFonts w:ascii="Arial" w:cs="Arial" w:eastAsia="Arial" w:hAnsi="Arial"/>
          <w:sz w:val="18"/>
          <w:szCs w:val="18"/>
          <w:color w:val="auto"/>
        </w:rPr>
      </w:pPr>
    </w:p>
    <w:p>
      <w:pPr>
        <w:jc w:val="both"/>
        <w:ind w:left="1300" w:hanging="353"/>
        <w:spacing w:after="0" w:line="250"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You may send a written notice that you are revoking your proxy to Erina Fox, ICON Company Secretarial Associate at the registered office of the Company (being ICON plc, South County Business Park, Leopardstown, Dublin 18, Ireland). Your notice must be received no later than 4.59pm Dublin time on 18 July 2013 or if the Annual Meeting is adjourned, by 4.59pm Dublin time on the day that falls 48 hours before the time appointed for the adjourned meeting shall be entitled to attend, speak, ask questions and vote at the Annual Meeting, or if relevant, any adjournment thereof; or</w:t>
      </w:r>
    </w:p>
    <w:p>
      <w:pPr>
        <w:spacing w:after="0" w:line="221" w:lineRule="exact"/>
        <w:rPr>
          <w:rFonts w:ascii="Arial" w:cs="Arial" w:eastAsia="Arial" w:hAnsi="Arial"/>
          <w:sz w:val="18"/>
          <w:szCs w:val="18"/>
          <w:color w:val="auto"/>
        </w:rPr>
      </w:pPr>
    </w:p>
    <w:p>
      <w:pPr>
        <w:ind w:left="1300" w:hanging="353"/>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You may attend the Annual Meeting and vote in person.</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Beneficial Owner: Shares Registered in the Name of a Broker, Bank or Other Agent</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your shares are held by your broker, bank or other agent, you should follow the instructions provided by them.</w:t>
      </w:r>
    </w:p>
    <w:p>
      <w:pPr>
        <w:spacing w:after="0" w:line="226" w:lineRule="exact"/>
        <w:rPr>
          <w:sz w:val="20"/>
          <w:szCs w:val="20"/>
          <w:color w:val="auto"/>
        </w:rPr>
      </w:pPr>
    </w:p>
    <w:p>
      <w:pPr>
        <w:ind w:left="660" w:hanging="65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it mean if I receive more than one set of materials?</w:t>
      </w:r>
    </w:p>
    <w:p>
      <w:pPr>
        <w:spacing w:after="0" w:line="22"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If you receive more than one set of materials, your shares are registered in more than one name or are registered in different accounts. In order to vote all the shares you own, you must sign and return all of the proxy cards or follow the instructions for any alternative voting procedure on each of the proxy cards you receive.</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13</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ICON plc – Notice of Annual General Meeting 2013</w:t>
      </w:r>
    </w:p>
    <w:p>
      <w:pPr>
        <w:sectPr>
          <w:pgSz w:w="11900" w:h="16838" w:orient="portrait"/>
          <w:cols w:equalWidth="0" w:num="1">
            <w:col w:w="11420"/>
          </w:cols>
          <w:pgMar w:left="240" w:top="512" w:right="239" w:bottom="1440" w:gutter="0" w:footer="0" w:header="0"/>
        </w:sectPr>
      </w:pPr>
    </w:p>
    <w:bookmarkStart w:id="16" w:name="page17"/>
    <w:bookmarkEnd w:id="16"/>
    <w:p>
      <w:pPr>
        <w:ind w:left="912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182245</wp:posOffset>
            </wp:positionV>
            <wp:extent cx="7253605" cy="88423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884237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333375</wp:posOffset>
            </wp:positionV>
            <wp:extent cx="6937375" cy="8419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937375" cy="8419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rFonts w:ascii="Arial" w:cs="Arial" w:eastAsia="Arial" w:hAnsi="Arial"/>
          <w:sz w:val="21"/>
          <w:szCs w:val="21"/>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820"/>
        <w:spacing w:after="0"/>
        <w:rPr>
          <w:sz w:val="20"/>
          <w:szCs w:val="20"/>
          <w:color w:val="auto"/>
        </w:rPr>
      </w:pPr>
      <w:r>
        <w:rPr>
          <w:rFonts w:ascii="Arial" w:cs="Arial" w:eastAsia="Arial" w:hAnsi="Arial"/>
          <w:sz w:val="32"/>
          <w:szCs w:val="32"/>
          <w:b w:val="1"/>
          <w:bCs w:val="1"/>
          <w:color w:val="auto"/>
        </w:rPr>
        <w:t>ICON p.l.c. and Subsidiaries</w:t>
      </w:r>
    </w:p>
    <w:p>
      <w:pPr>
        <w:spacing w:after="0" w:line="220" w:lineRule="exact"/>
        <w:rPr>
          <w:sz w:val="20"/>
          <w:szCs w:val="20"/>
          <w:color w:val="auto"/>
        </w:rPr>
      </w:pPr>
    </w:p>
    <w:p>
      <w:pPr>
        <w:ind w:left="2820"/>
        <w:spacing w:after="0"/>
        <w:rPr>
          <w:sz w:val="20"/>
          <w:szCs w:val="20"/>
          <w:color w:val="auto"/>
        </w:rPr>
      </w:pPr>
      <w:r>
        <w:rPr>
          <w:rFonts w:ascii="Arial" w:cs="Arial" w:eastAsia="Arial" w:hAnsi="Arial"/>
          <w:sz w:val="25"/>
          <w:szCs w:val="25"/>
          <w:b w:val="1"/>
          <w:bCs w:val="1"/>
          <w:color w:val="auto"/>
        </w:rPr>
        <w:t>Consolidated Financial Statements</w:t>
      </w:r>
    </w:p>
    <w:p>
      <w:pPr>
        <w:spacing w:after="0" w:line="212" w:lineRule="exact"/>
        <w:rPr>
          <w:sz w:val="20"/>
          <w:szCs w:val="20"/>
          <w:color w:val="auto"/>
        </w:rPr>
      </w:pPr>
    </w:p>
    <w:p>
      <w:pPr>
        <w:ind w:left="2820"/>
        <w:spacing w:after="0"/>
        <w:rPr>
          <w:sz w:val="20"/>
          <w:szCs w:val="20"/>
          <w:color w:val="auto"/>
        </w:rPr>
      </w:pPr>
      <w:r>
        <w:rPr>
          <w:rFonts w:ascii="Arial" w:cs="Arial" w:eastAsia="Arial" w:hAnsi="Arial"/>
          <w:sz w:val="21"/>
          <w:szCs w:val="21"/>
          <w:b w:val="1"/>
          <w:bCs w:val="1"/>
          <w:color w:val="auto"/>
        </w:rPr>
        <w:t>Year ended 31 December 2012</w:t>
      </w:r>
    </w:p>
    <w:p>
      <w:pPr>
        <w:spacing w:after="0" w:line="200" w:lineRule="exact"/>
        <w:rPr>
          <w:sz w:val="20"/>
          <w:szCs w:val="20"/>
          <w:color w:val="auto"/>
        </w:rPr>
      </w:pPr>
    </w:p>
    <w:p>
      <w:pPr>
        <w:spacing w:after="0" w:line="236" w:lineRule="exact"/>
        <w:rPr>
          <w:sz w:val="20"/>
          <w:szCs w:val="20"/>
          <w:color w:val="auto"/>
        </w:rPr>
      </w:pPr>
    </w:p>
    <w:p>
      <w:pPr>
        <w:ind w:left="2820"/>
        <w:spacing w:after="0"/>
        <w:tabs>
          <w:tab w:leader="none" w:pos="4340" w:val="left"/>
        </w:tabs>
        <w:rPr>
          <w:sz w:val="20"/>
          <w:szCs w:val="20"/>
          <w:color w:val="auto"/>
        </w:rPr>
      </w:pPr>
      <w:r>
        <w:rPr>
          <w:rFonts w:ascii="Arial" w:cs="Arial" w:eastAsia="Arial" w:hAnsi="Arial"/>
          <w:sz w:val="18"/>
          <w:szCs w:val="18"/>
          <w:i w:val="1"/>
          <w:iCs w:val="1"/>
          <w:color w:val="auto"/>
        </w:rPr>
        <w:t>Registered number</w:t>
      </w:r>
      <w:r>
        <w:rPr>
          <w:sz w:val="20"/>
          <w:szCs w:val="20"/>
          <w:color w:val="auto"/>
        </w:rPr>
        <w:tab/>
      </w:r>
      <w:r>
        <w:rPr>
          <w:rFonts w:ascii="Arial" w:cs="Arial" w:eastAsia="Arial" w:hAnsi="Arial"/>
          <w:sz w:val="15"/>
          <w:szCs w:val="15"/>
          <w:i w:val="1"/>
          <w:iCs w:val="1"/>
          <w:color w:val="auto"/>
        </w:rPr>
        <w:t>145835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1170940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Directors’ Report and Consolidated Financial Statements</w:t>
            </w:r>
          </w:p>
        </w:tc>
        <w:tc>
          <w:tcPr>
            <w:tcW w:w="6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2"/>
        </w:trPr>
        <w:tc>
          <w:tcPr>
            <w:tcW w:w="4980" w:type="dxa"/>
            <w:vAlign w:val="bottom"/>
            <w:gridSpan w:val="2"/>
          </w:tcPr>
          <w:p>
            <w:pPr>
              <w:spacing w:after="0"/>
              <w:rPr>
                <w:sz w:val="20"/>
                <w:szCs w:val="20"/>
                <w:color w:val="auto"/>
              </w:rPr>
            </w:pPr>
            <w:r>
              <w:rPr>
                <w:rFonts w:ascii="Arial" w:cs="Arial" w:eastAsia="Arial" w:hAnsi="Arial"/>
                <w:sz w:val="18"/>
                <w:szCs w:val="18"/>
                <w:i w:val="1"/>
                <w:iCs w:val="1"/>
                <w:color w:val="auto"/>
              </w:rPr>
              <w:t>Contents</w:t>
            </w:r>
          </w:p>
        </w:tc>
        <w:tc>
          <w:tcPr>
            <w:tcW w:w="6460" w:type="dxa"/>
            <w:vAlign w:val="bottom"/>
            <w:gridSpan w:val="2"/>
          </w:tcPr>
          <w:p>
            <w:pPr>
              <w:ind w:left="6080"/>
              <w:spacing w:after="0"/>
              <w:rPr>
                <w:sz w:val="20"/>
                <w:szCs w:val="20"/>
                <w:color w:val="auto"/>
              </w:rPr>
            </w:pPr>
            <w:r>
              <w:rPr>
                <w:rFonts w:ascii="Arial" w:cs="Arial" w:eastAsia="Arial" w:hAnsi="Arial"/>
                <w:sz w:val="18"/>
                <w:szCs w:val="18"/>
                <w:i w:val="1"/>
                <w:iCs w:val="1"/>
                <w:color w:val="auto"/>
                <w:w w:val="85"/>
              </w:rPr>
              <w:t>Page</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Directors and Other Information</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Directors' Report</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Statement of Directors' Responsibilities</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Independent Auditor's Report</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Statement of Accounting Policies</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Consolidated Income Statement</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Comprehensive Income</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Financial Position</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Changes in Equity</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Cash Flows</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Company Statement of Financial Position</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Company Statement of Changes in Equity</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Company Statement of Cash Flows</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Notes to Company Financial Statements</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between IFRS and US Accounting Principles</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Appendix A: Risk Factors</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6440" w:type="dxa"/>
            <w:vAlign w:val="bottom"/>
          </w:tcPr>
          <w:p>
            <w:pPr>
              <w:jc w:val="right"/>
              <w:ind w:right="557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960" w:type="dxa"/>
            <w:vAlign w:val="bottom"/>
            <w:tcBorders>
              <w:bottom w:val="single" w:sz="8" w:color="808080"/>
            </w:tcBorders>
          </w:tcPr>
          <w:p>
            <w:pPr>
              <w:spacing w:after="0"/>
              <w:rPr>
                <w:sz w:val="10"/>
                <w:szCs w:val="10"/>
                <w:color w:val="auto"/>
              </w:rPr>
            </w:pPr>
          </w:p>
        </w:tc>
        <w:tc>
          <w:tcPr>
            <w:tcW w:w="64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Directors’ and Other Information</w:t>
            </w:r>
          </w:p>
        </w:tc>
        <w:tc>
          <w:tcPr>
            <w:tcW w:w="7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8"/>
        </w:trPr>
        <w:tc>
          <w:tcPr>
            <w:tcW w:w="346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7960" w:type="dxa"/>
            <w:vAlign w:val="bottom"/>
          </w:tcPr>
          <w:p>
            <w:pPr>
              <w:ind w:left="1120"/>
              <w:spacing w:after="0"/>
              <w:rPr>
                <w:sz w:val="20"/>
                <w:szCs w:val="20"/>
                <w:color w:val="auto"/>
              </w:rPr>
            </w:pPr>
            <w:r>
              <w:rPr>
                <w:rFonts w:ascii="Arial" w:cs="Arial" w:eastAsia="Arial" w:hAnsi="Arial"/>
                <w:sz w:val="18"/>
                <w:szCs w:val="18"/>
                <w:color w:val="auto"/>
              </w:rPr>
              <w:t>Thomas Lynch (British - Chairman of the Board) (1) (2) (3) (4)</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Ciaran Murray (Irish - Chief Executive Officer) (4)</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Dr. John Climax (Irish - Non-Executive) (5)</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Dr. Ronan Lambe (Irish - Non-Executive) (5)</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Dr. Bruce Given (American - Non-Executive) (2) (3)</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Prof. Dermot Kelleher (Irish - Non-Executive) (1) (5)</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Declan McKeon (Irish - Non-Executive) (1) (3)</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Cathrin Petty (British - Non-Executive) (2) (3)</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Prof. William Hall (Irish - Non-Executive) (1) (2) (5)</w:t>
            </w:r>
          </w:p>
        </w:tc>
        <w:tc>
          <w:tcPr>
            <w:tcW w:w="0" w:type="dxa"/>
            <w:vAlign w:val="bottom"/>
          </w:tcPr>
          <w:p>
            <w:pPr>
              <w:spacing w:after="0"/>
              <w:rPr>
                <w:sz w:val="1"/>
                <w:szCs w:val="1"/>
                <w:color w:val="auto"/>
              </w:rPr>
            </w:pPr>
          </w:p>
        </w:tc>
      </w:tr>
      <w:tr>
        <w:trPr>
          <w:trHeight w:val="413"/>
        </w:trPr>
        <w:tc>
          <w:tcPr>
            <w:tcW w:w="3460" w:type="dxa"/>
            <w:vAlign w:val="bottom"/>
          </w:tcPr>
          <w:p>
            <w:pPr>
              <w:spacing w:after="0"/>
              <w:rPr>
                <w:sz w:val="24"/>
                <w:szCs w:val="24"/>
                <w:color w:val="auto"/>
              </w:rPr>
            </w:pPr>
          </w:p>
        </w:tc>
        <w:tc>
          <w:tcPr>
            <w:tcW w:w="7960" w:type="dxa"/>
            <w:vAlign w:val="bottom"/>
          </w:tcPr>
          <w:p>
            <w:pPr>
              <w:ind w:left="1120"/>
              <w:spacing w:after="0"/>
              <w:rPr>
                <w:sz w:val="20"/>
                <w:szCs w:val="20"/>
                <w:color w:val="auto"/>
              </w:rPr>
            </w:pPr>
            <w:r>
              <w:rPr>
                <w:rFonts w:ascii="Arial" w:cs="Arial" w:eastAsia="Arial" w:hAnsi="Arial"/>
                <w:sz w:val="18"/>
                <w:szCs w:val="18"/>
                <w:i w:val="1"/>
                <w:iCs w:val="1"/>
                <w:color w:val="auto"/>
              </w:rPr>
              <w:t>(1) Member of Audit Committee</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i w:val="1"/>
                <w:iCs w:val="1"/>
                <w:color w:val="auto"/>
              </w:rPr>
              <w:t>(2) Member of Compensation and Organisation Committee</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i w:val="1"/>
                <w:iCs w:val="1"/>
                <w:color w:val="auto"/>
              </w:rPr>
              <w:t>(3) Member of Nominating and Governance Committee</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i w:val="1"/>
                <w:iCs w:val="1"/>
                <w:color w:val="auto"/>
              </w:rPr>
              <w:t>(4) Member of Execution Committee</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7960" w:type="dxa"/>
            <w:vAlign w:val="bottom"/>
          </w:tcPr>
          <w:p>
            <w:pPr>
              <w:ind w:left="1120"/>
              <w:spacing w:after="0"/>
              <w:rPr>
                <w:sz w:val="20"/>
                <w:szCs w:val="20"/>
                <w:color w:val="auto"/>
              </w:rPr>
            </w:pPr>
            <w:r>
              <w:rPr>
                <w:rFonts w:ascii="Arial" w:cs="Arial" w:eastAsia="Arial" w:hAnsi="Arial"/>
                <w:sz w:val="18"/>
                <w:szCs w:val="18"/>
                <w:i w:val="1"/>
                <w:iCs w:val="1"/>
                <w:color w:val="auto"/>
              </w:rPr>
              <w:t>(5) Member of Quality Committee</w:t>
            </w:r>
          </w:p>
        </w:tc>
        <w:tc>
          <w:tcPr>
            <w:tcW w:w="0" w:type="dxa"/>
            <w:vAlign w:val="bottom"/>
          </w:tcPr>
          <w:p>
            <w:pPr>
              <w:spacing w:after="0"/>
              <w:rPr>
                <w:sz w:val="1"/>
                <w:szCs w:val="1"/>
                <w:color w:val="auto"/>
              </w:rPr>
            </w:pPr>
          </w:p>
        </w:tc>
      </w:tr>
      <w:tr>
        <w:trPr>
          <w:trHeight w:val="424"/>
        </w:trPr>
        <w:tc>
          <w:tcPr>
            <w:tcW w:w="3460" w:type="dxa"/>
            <w:vAlign w:val="bottom"/>
          </w:tcPr>
          <w:p>
            <w:pPr>
              <w:spacing w:after="0"/>
              <w:rPr>
                <w:sz w:val="20"/>
                <w:szCs w:val="20"/>
                <w:color w:val="auto"/>
              </w:rPr>
            </w:pPr>
            <w:r>
              <w:rPr>
                <w:rFonts w:ascii="Arial" w:cs="Arial" w:eastAsia="Arial" w:hAnsi="Arial"/>
                <w:sz w:val="18"/>
                <w:szCs w:val="18"/>
                <w:b w:val="1"/>
                <w:bCs w:val="1"/>
                <w:color w:val="auto"/>
              </w:rPr>
              <w:t>Company secretary</w:t>
            </w:r>
          </w:p>
        </w:tc>
        <w:tc>
          <w:tcPr>
            <w:tcW w:w="7960" w:type="dxa"/>
            <w:vAlign w:val="bottom"/>
          </w:tcPr>
          <w:p>
            <w:pPr>
              <w:ind w:left="1120"/>
              <w:spacing w:after="0"/>
              <w:rPr>
                <w:sz w:val="20"/>
                <w:szCs w:val="20"/>
                <w:color w:val="auto"/>
              </w:rPr>
            </w:pPr>
            <w:r>
              <w:rPr>
                <w:rFonts w:ascii="Arial" w:cs="Arial" w:eastAsia="Arial" w:hAnsi="Arial"/>
                <w:sz w:val="18"/>
                <w:szCs w:val="18"/>
                <w:color w:val="auto"/>
              </w:rPr>
              <w:t>Diarmaid Cunningham</w:t>
            </w:r>
          </w:p>
        </w:tc>
        <w:tc>
          <w:tcPr>
            <w:tcW w:w="0" w:type="dxa"/>
            <w:vAlign w:val="bottom"/>
          </w:tcPr>
          <w:p>
            <w:pPr>
              <w:spacing w:after="0"/>
              <w:rPr>
                <w:sz w:val="1"/>
                <w:szCs w:val="1"/>
                <w:color w:val="auto"/>
              </w:rPr>
            </w:pPr>
          </w:p>
        </w:tc>
      </w:tr>
      <w:tr>
        <w:trPr>
          <w:trHeight w:val="413"/>
        </w:trPr>
        <w:tc>
          <w:tcPr>
            <w:tcW w:w="346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7960" w:type="dxa"/>
            <w:vAlign w:val="bottom"/>
          </w:tcPr>
          <w:p>
            <w:pPr>
              <w:ind w:left="1120"/>
              <w:spacing w:after="0"/>
              <w:rPr>
                <w:sz w:val="20"/>
                <w:szCs w:val="20"/>
                <w:color w:val="auto"/>
              </w:rPr>
            </w:pPr>
            <w:r>
              <w:rPr>
                <w:rFonts w:ascii="Arial" w:cs="Arial" w:eastAsia="Arial" w:hAnsi="Arial"/>
                <w:sz w:val="18"/>
                <w:szCs w:val="18"/>
                <w:color w:val="auto"/>
              </w:rPr>
              <w:t>South County Business Park</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Leopardstown</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Dublin 18</w:t>
            </w:r>
          </w:p>
        </w:tc>
        <w:tc>
          <w:tcPr>
            <w:tcW w:w="0" w:type="dxa"/>
            <w:vAlign w:val="bottom"/>
          </w:tcPr>
          <w:p>
            <w:pPr>
              <w:spacing w:after="0"/>
              <w:rPr>
                <w:sz w:val="1"/>
                <w:szCs w:val="1"/>
                <w:color w:val="auto"/>
              </w:rPr>
            </w:pPr>
          </w:p>
        </w:tc>
      </w:tr>
      <w:tr>
        <w:trPr>
          <w:trHeight w:val="413"/>
        </w:trPr>
        <w:tc>
          <w:tcPr>
            <w:tcW w:w="3460" w:type="dxa"/>
            <w:vAlign w:val="bottom"/>
          </w:tcPr>
          <w:p>
            <w:pPr>
              <w:spacing w:after="0"/>
              <w:rPr>
                <w:sz w:val="20"/>
                <w:szCs w:val="20"/>
                <w:color w:val="auto"/>
              </w:rPr>
            </w:pPr>
            <w:r>
              <w:rPr>
                <w:rFonts w:ascii="Arial" w:cs="Arial" w:eastAsia="Arial" w:hAnsi="Arial"/>
                <w:sz w:val="18"/>
                <w:szCs w:val="18"/>
                <w:b w:val="1"/>
                <w:bCs w:val="1"/>
                <w:color w:val="auto"/>
              </w:rPr>
              <w:t>Auditors</w:t>
            </w:r>
          </w:p>
        </w:tc>
        <w:tc>
          <w:tcPr>
            <w:tcW w:w="7960" w:type="dxa"/>
            <w:vAlign w:val="bottom"/>
          </w:tcPr>
          <w:p>
            <w:pPr>
              <w:ind w:left="1120"/>
              <w:spacing w:after="0"/>
              <w:rPr>
                <w:sz w:val="20"/>
                <w:szCs w:val="20"/>
                <w:color w:val="auto"/>
              </w:rPr>
            </w:pPr>
            <w:r>
              <w:rPr>
                <w:rFonts w:ascii="Arial" w:cs="Arial" w:eastAsia="Arial" w:hAnsi="Arial"/>
                <w:sz w:val="18"/>
                <w:szCs w:val="18"/>
                <w:color w:val="auto"/>
              </w:rPr>
              <w:t>KPMG</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Chartered Accountants</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1 Stokes Place</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St. Stephens Green</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Dublin 2</w:t>
            </w:r>
          </w:p>
        </w:tc>
        <w:tc>
          <w:tcPr>
            <w:tcW w:w="0" w:type="dxa"/>
            <w:vAlign w:val="bottom"/>
          </w:tcPr>
          <w:p>
            <w:pPr>
              <w:spacing w:after="0"/>
              <w:rPr>
                <w:sz w:val="1"/>
                <w:szCs w:val="1"/>
                <w:color w:val="auto"/>
              </w:rPr>
            </w:pPr>
          </w:p>
        </w:tc>
      </w:tr>
      <w:tr>
        <w:trPr>
          <w:trHeight w:val="413"/>
        </w:trPr>
        <w:tc>
          <w:tcPr>
            <w:tcW w:w="3460" w:type="dxa"/>
            <w:vAlign w:val="bottom"/>
          </w:tcPr>
          <w:p>
            <w:pPr>
              <w:spacing w:after="0"/>
              <w:rPr>
                <w:sz w:val="20"/>
                <w:szCs w:val="20"/>
                <w:color w:val="auto"/>
              </w:rPr>
            </w:pPr>
            <w:r>
              <w:rPr>
                <w:rFonts w:ascii="Arial" w:cs="Arial" w:eastAsia="Arial" w:hAnsi="Arial"/>
                <w:sz w:val="18"/>
                <w:szCs w:val="18"/>
                <w:b w:val="1"/>
                <w:bCs w:val="1"/>
                <w:color w:val="auto"/>
              </w:rPr>
              <w:t>Solicitors</w:t>
            </w:r>
          </w:p>
        </w:tc>
        <w:tc>
          <w:tcPr>
            <w:tcW w:w="7960" w:type="dxa"/>
            <w:vAlign w:val="bottom"/>
          </w:tcPr>
          <w:p>
            <w:pPr>
              <w:ind w:left="1120"/>
              <w:spacing w:after="0"/>
              <w:rPr>
                <w:sz w:val="20"/>
                <w:szCs w:val="20"/>
                <w:color w:val="auto"/>
              </w:rPr>
            </w:pPr>
            <w:r>
              <w:rPr>
                <w:rFonts w:ascii="Arial" w:cs="Arial" w:eastAsia="Arial" w:hAnsi="Arial"/>
                <w:sz w:val="18"/>
                <w:szCs w:val="18"/>
                <w:color w:val="auto"/>
              </w:rPr>
              <w:t>A &amp; L Goodbody</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International Financial Services Centre</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North Wall Quay</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Dublin 1</w:t>
            </w:r>
          </w:p>
        </w:tc>
        <w:tc>
          <w:tcPr>
            <w:tcW w:w="0" w:type="dxa"/>
            <w:vAlign w:val="bottom"/>
          </w:tcPr>
          <w:p>
            <w:pPr>
              <w:spacing w:after="0"/>
              <w:rPr>
                <w:sz w:val="1"/>
                <w:szCs w:val="1"/>
                <w:color w:val="auto"/>
              </w:rPr>
            </w:pPr>
          </w:p>
        </w:tc>
      </w:tr>
      <w:tr>
        <w:trPr>
          <w:trHeight w:val="413"/>
        </w:trPr>
        <w:tc>
          <w:tcPr>
            <w:tcW w:w="3460" w:type="dxa"/>
            <w:vAlign w:val="bottom"/>
          </w:tcPr>
          <w:p>
            <w:pPr>
              <w:spacing w:after="0"/>
              <w:rPr>
                <w:sz w:val="24"/>
                <w:szCs w:val="24"/>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Cahill Gordon Reindel LLP</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80 Pine Street</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NY10005</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413"/>
        </w:trPr>
        <w:tc>
          <w:tcPr>
            <w:tcW w:w="3460" w:type="dxa"/>
            <w:vAlign w:val="bottom"/>
          </w:tcPr>
          <w:p>
            <w:pPr>
              <w:spacing w:after="0"/>
              <w:rPr>
                <w:sz w:val="20"/>
                <w:szCs w:val="20"/>
                <w:color w:val="auto"/>
              </w:rPr>
            </w:pPr>
            <w:r>
              <w:rPr>
                <w:rFonts w:ascii="Arial" w:cs="Arial" w:eastAsia="Arial" w:hAnsi="Arial"/>
                <w:sz w:val="18"/>
                <w:szCs w:val="18"/>
                <w:b w:val="1"/>
                <w:bCs w:val="1"/>
                <w:color w:val="auto"/>
              </w:rPr>
              <w:t>Registrars</w:t>
            </w:r>
          </w:p>
        </w:tc>
        <w:tc>
          <w:tcPr>
            <w:tcW w:w="7960" w:type="dxa"/>
            <w:vAlign w:val="bottom"/>
          </w:tcPr>
          <w:p>
            <w:pPr>
              <w:ind w:left="1120"/>
              <w:spacing w:after="0"/>
              <w:rPr>
                <w:sz w:val="20"/>
                <w:szCs w:val="20"/>
                <w:color w:val="auto"/>
              </w:rPr>
            </w:pPr>
            <w:r>
              <w:rPr>
                <w:rFonts w:ascii="Arial" w:cs="Arial" w:eastAsia="Arial" w:hAnsi="Arial"/>
                <w:sz w:val="18"/>
                <w:szCs w:val="18"/>
                <w:color w:val="auto"/>
              </w:rPr>
              <w:t>Computershare Investor Services (Ireland) Limited</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Herron House</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Corrig Road</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Sandyford Industrial Estate</w:t>
            </w:r>
          </w:p>
        </w:tc>
        <w:tc>
          <w:tcPr>
            <w:tcW w:w="0" w:type="dxa"/>
            <w:vAlign w:val="bottom"/>
          </w:tcPr>
          <w:p>
            <w:pPr>
              <w:spacing w:after="0"/>
              <w:rPr>
                <w:sz w:val="1"/>
                <w:szCs w:val="1"/>
                <w:color w:val="auto"/>
              </w:rPr>
            </w:pPr>
          </w:p>
        </w:tc>
      </w:tr>
      <w:tr>
        <w:trPr>
          <w:trHeight w:val="223"/>
        </w:trPr>
        <w:tc>
          <w:tcPr>
            <w:tcW w:w="3460" w:type="dxa"/>
            <w:vAlign w:val="bottom"/>
            <w:vMerge w:val="restart"/>
          </w:tcPr>
          <w:p>
            <w:pPr>
              <w:spacing w:after="0"/>
              <w:rPr>
                <w:sz w:val="20"/>
                <w:szCs w:val="20"/>
                <w:color w:val="auto"/>
              </w:rPr>
            </w:pPr>
            <w:r>
              <w:rPr>
                <w:rFonts w:ascii="Arial" w:cs="Arial" w:eastAsia="Arial" w:hAnsi="Arial"/>
                <w:sz w:val="18"/>
                <w:szCs w:val="18"/>
                <w:b w:val="1"/>
                <w:bCs w:val="1"/>
                <w:color w:val="auto"/>
              </w:rPr>
              <w:t>Bankers</w:t>
            </w:r>
          </w:p>
        </w:tc>
        <w:tc>
          <w:tcPr>
            <w:tcW w:w="7960" w:type="dxa"/>
            <w:vAlign w:val="bottom"/>
          </w:tcPr>
          <w:p>
            <w:pPr>
              <w:ind w:left="1120"/>
              <w:spacing w:after="0"/>
              <w:rPr>
                <w:sz w:val="20"/>
                <w:szCs w:val="20"/>
                <w:color w:val="auto"/>
              </w:rPr>
            </w:pPr>
            <w:r>
              <w:rPr>
                <w:rFonts w:ascii="Arial" w:cs="Arial" w:eastAsia="Arial" w:hAnsi="Arial"/>
                <w:sz w:val="18"/>
                <w:szCs w:val="18"/>
                <w:color w:val="auto"/>
              </w:rPr>
              <w:t>Dublin 18</w:t>
            </w:r>
          </w:p>
        </w:tc>
        <w:tc>
          <w:tcPr>
            <w:tcW w:w="0" w:type="dxa"/>
            <w:vAlign w:val="bottom"/>
          </w:tcPr>
          <w:p>
            <w:pPr>
              <w:spacing w:after="0"/>
              <w:rPr>
                <w:sz w:val="1"/>
                <w:szCs w:val="1"/>
                <w:color w:val="auto"/>
              </w:rPr>
            </w:pPr>
          </w:p>
        </w:tc>
      </w:tr>
      <w:tr>
        <w:trPr>
          <w:trHeight w:val="212"/>
        </w:trPr>
        <w:tc>
          <w:tcPr>
            <w:tcW w:w="3460" w:type="dxa"/>
            <w:vAlign w:val="bottom"/>
            <w:vMerge w:val="continue"/>
          </w:tcPr>
          <w:p>
            <w:pPr>
              <w:spacing w:after="0"/>
              <w:rPr>
                <w:sz w:val="18"/>
                <w:szCs w:val="18"/>
                <w:color w:val="auto"/>
              </w:rPr>
            </w:pPr>
          </w:p>
        </w:tc>
        <w:tc>
          <w:tcPr>
            <w:tcW w:w="7960" w:type="dxa"/>
            <w:vAlign w:val="bottom"/>
            <w:vMerge w:val="restart"/>
          </w:tcPr>
          <w:p>
            <w:pPr>
              <w:ind w:left="1120"/>
              <w:spacing w:after="0"/>
              <w:rPr>
                <w:sz w:val="20"/>
                <w:szCs w:val="20"/>
                <w:color w:val="auto"/>
              </w:rPr>
            </w:pPr>
            <w:r>
              <w:rPr>
                <w:rFonts w:ascii="Arial" w:cs="Arial" w:eastAsia="Arial" w:hAnsi="Arial"/>
                <w:sz w:val="18"/>
                <w:szCs w:val="18"/>
                <w:color w:val="auto"/>
              </w:rPr>
              <w:t>Citibank</w:t>
            </w:r>
          </w:p>
        </w:tc>
        <w:tc>
          <w:tcPr>
            <w:tcW w:w="0" w:type="dxa"/>
            <w:vAlign w:val="bottom"/>
          </w:tcPr>
          <w:p>
            <w:pPr>
              <w:spacing w:after="0"/>
              <w:rPr>
                <w:sz w:val="1"/>
                <w:szCs w:val="1"/>
                <w:color w:val="auto"/>
              </w:rPr>
            </w:pPr>
          </w:p>
        </w:tc>
      </w:tr>
      <w:tr>
        <w:trPr>
          <w:trHeight w:val="201"/>
        </w:trPr>
        <w:tc>
          <w:tcPr>
            <w:tcW w:w="3460" w:type="dxa"/>
            <w:vAlign w:val="bottom"/>
          </w:tcPr>
          <w:p>
            <w:pPr>
              <w:spacing w:after="0"/>
              <w:rPr>
                <w:sz w:val="17"/>
                <w:szCs w:val="17"/>
                <w:color w:val="auto"/>
              </w:rPr>
            </w:pPr>
          </w:p>
        </w:tc>
        <w:tc>
          <w:tcPr>
            <w:tcW w:w="7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Canada Square Canary Warf</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London E14 5LB</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413"/>
        </w:trPr>
        <w:tc>
          <w:tcPr>
            <w:tcW w:w="3460" w:type="dxa"/>
            <w:vAlign w:val="bottom"/>
          </w:tcPr>
          <w:p>
            <w:pPr>
              <w:spacing w:after="0"/>
              <w:rPr>
                <w:sz w:val="24"/>
                <w:szCs w:val="24"/>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JP Morgan Chase Bank N.A.</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4 New York Plaza</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NY 10004</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597"/>
        </w:trPr>
        <w:tc>
          <w:tcPr>
            <w:tcW w:w="3460" w:type="dxa"/>
            <w:vAlign w:val="bottom"/>
          </w:tcPr>
          <w:p>
            <w:pPr>
              <w:spacing w:after="0"/>
              <w:rPr>
                <w:sz w:val="24"/>
                <w:szCs w:val="24"/>
                <w:color w:val="auto"/>
              </w:rPr>
            </w:pPr>
          </w:p>
        </w:tc>
        <w:tc>
          <w:tcPr>
            <w:tcW w:w="7960" w:type="dxa"/>
            <w:vAlign w:val="bottom"/>
          </w:tcPr>
          <w:p>
            <w:pPr>
              <w:ind w:left="2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7"/>
        </w:trPr>
        <w:tc>
          <w:tcPr>
            <w:tcW w:w="3460" w:type="dxa"/>
            <w:vAlign w:val="bottom"/>
            <w:tcBorders>
              <w:bottom w:val="single" w:sz="8" w:color="808080"/>
            </w:tcBorders>
          </w:tcPr>
          <w:p>
            <w:pPr>
              <w:spacing w:after="0"/>
              <w:rPr>
                <w:sz w:val="10"/>
                <w:szCs w:val="10"/>
                <w:color w:val="auto"/>
              </w:rPr>
            </w:pPr>
          </w:p>
        </w:tc>
        <w:tc>
          <w:tcPr>
            <w:tcW w:w="79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Directors’ Report</w:t>
      </w:r>
    </w:p>
    <w:p>
      <w:pPr>
        <w:spacing w:after="0" w:line="200" w:lineRule="exact"/>
        <w:rPr>
          <w:sz w:val="20"/>
          <w:szCs w:val="20"/>
          <w:color w:val="auto"/>
        </w:rPr>
      </w:pP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Directors present their report and audited Consolidated and Company financial statements of ICON p.l.c. (“the Company” or “ICON”), a public limited company incorporated in the Republic of Ireland, and its subsidiary undertakings (“the Subsidiaries”, with the Company and the Subsidiaries being together “the Group”) for the year ended 31 December 2012.</w:t>
      </w:r>
    </w:p>
    <w:p>
      <w:pPr>
        <w:spacing w:after="0" w:line="215"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The Company’s ordinary shares are traded on the NASDAQ market. The Company is considered a foreign private issuer in the US and accordingly it is not subject to the same ongoing regulatory requirements as a US registered company with a primary listing on the NASDAQ market.</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These Consolidated and Company financial statements (together “the financial statements”) for the year ended 31 December 2012 are prepared in accordance with IFRS as adopted by the EU and meet the reporting requirements pursuant to Irish Company Law. In addition to the consolidated financial statements contained in this annual report, we also prepare separate consolidated financial statements on Form 20-F pursuant to the rules and regulations of the U.S. Securities and Exchange Commission (SEC) and in accordance with accounting principles generally accepted in the United States (U.S. GAAP). The Form 20-F under U.S. GAAP is a separate document, a copy of which may be obtained from the Company’s website </w:t>
      </w:r>
      <w:r>
        <w:rPr>
          <w:rFonts w:ascii="Arial" w:cs="Arial" w:eastAsia="Arial" w:hAnsi="Arial"/>
          <w:sz w:val="17"/>
          <w:szCs w:val="17"/>
          <w:u w:val="single" w:color="auto"/>
          <w:color w:val="auto"/>
        </w:rPr>
        <w:t>www.iconplc.com</w:t>
      </w:r>
      <w:r>
        <w:rPr>
          <w:rFonts w:ascii="Arial" w:cs="Arial" w:eastAsia="Arial" w:hAnsi="Arial"/>
          <w:sz w:val="17"/>
          <w:szCs w:val="17"/>
          <w:color w:val="auto"/>
        </w:rPr>
        <w:t>. IFRS differs in certain respects from U.S. GAAP, details of which are set out on pages 116 to 119 of this annual report.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activities, business review and future developments</w:t>
      </w:r>
    </w:p>
    <w:p>
      <w:pPr>
        <w:spacing w:after="0" w:line="2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Group is a contract research organisation (“CRO”), providing outsourced development services on a global basis to the pharmaceutical, biotechnology and medical device industries. The Group specialises in the strategic development, management and analysis of programmes that support all stages of the clinical development process - from compound selection to Phase I-IV clinical studies. The Company’s mission is to accelerate the development of drugs that save lives and improve the quality of life. Our vision is to be the Global CRO partner of choice for the Biopharma industry by delivering best in class information, solutions and performance in clinical and outcomes research.</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Group believes that it is one of a select number of CRO’s with the expertise and capability to conduct clinical trials in most major therapeutic areas on a global basis and has the operational flexibility to provide development services on a stand alone basis or as part of an integrated “full service” solution. At 31 December 2012, the Group had approximately 9,500 employees, in 82 locations in 40 countries. During the year ended 31 December 2011, the Group derived approximately 42.3%, 45.8% and 11.9% of its net revenue in the United States, Europe and Rest of World, respectively.</w:t>
      </w:r>
    </w:p>
    <w:p>
      <w:pPr>
        <w:spacing w:after="0" w:line="204"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Headquartered in Dublin, Ireland, the Group began operations in 1990 and has expanded the business predominately through internal growth, together with a number of strategic acquisitions to enhance its capabilities and expertise in certain areas of the clinical development process. Its principal executive office is located at: South County Business Park, Leopardstown, Dublin 18, Republic of Ireland. The contact telephone number of this office is 353 (1) 291 2000.</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15 February 2013, the Group acquired the Clinical Trial Services Division of Cross Country Healthcare, Inc. Cross Country Healthcare’s Clinical Trial Services Division includes US resourcing providers, ClinForce and Assent Consulting, whose services include contract staffing, permanent placement and functional service provision. The division also includes AKOS, a leading US and EU provider of pharmacovigilance and drug safety services. ClinForce and Assent will be combined with ICON’s FSP division, DOCS, creating a leader in global resourcing and FSP, while AKOS will enhance the services offered by ICON’s medical and safety services team.</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28 February 2012, the Group acquired PriceSpective LLC (“PriceSpective”), a global leader in value strategy consulting. Headquartered in Philadelphia (USA), and with offices in London (UK), Los Angeles (USA), San Diego (USA), Raleigh (USA) and Boston (USA), PriceSpective is a premier consultancy that has a strong reputation for excellence in strategic pricing, market access, health economic outcomes research (HEOR), due diligence support and payer engagement services. Since it’s formation in 2003, PriceSpective has developed strategies for dozens of new product launches, and hundreds of development and in-market products, in over 40 disease areas.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56"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On 15 February 2012, the Group acquired BeijingWits Medical Limited, a leading Chinese CRO, with over 100 highly qualified and experienced professionals in Beijing, Shanghai, Chengdu, Guangzhou, Wuhan and Hong Kong.</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17 December 2012 the Company’s shareholders voted in favour of terminating the Company’s ADR programme and replacing its ADRs with a direct listing of its shares on NASDAQ. The company also decided to cancel the Company’s secondary listing on the official list of the Irish Stock Exchange, mainly due to the very low levels of liquidity in the Company’s shares on this exchange. This followed a review by the Company of its share trading arrangements with the objective of ensuring that the arrangements in place are appropriate to the size, scale and locations of the business, are conducive to supporting a liquid market in the Company’s shares, enhance the Company’s profile and attractions for a wide range of international investors, and that the costs and maintenance of the associated trading arrangements are proportionate to the expected benefits. The last day of trading of the Company’s shares on the Irish Stock Exchange was 29 January 2013 with the Company’s delisting from the Irish Stock Exchange being effected as of 30 January 2013. Direct trading of the Company’s shares on NASDAQ commenced on 4 February 2013.</w:t>
      </w:r>
    </w:p>
    <w:p>
      <w:pPr>
        <w:spacing w:after="0" w:line="209"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In 2013, the Group looks forward to increasing its geographic presence through the addition of new offices and expanding the scale and range of its service offering.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and dividends</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results for the year are as shown on page 27 of these financial statements. The Directors do not propose the payment of a dividend for the year ended 31 December 2012.</w:t>
      </w:r>
    </w:p>
    <w:p>
      <w:pPr>
        <w:spacing w:after="0" w:line="206"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The following table sets forth for the periods indicated certain financial data as a percentage of net revenue and the percentage change in these items compared to the prior period, being the key performance indicators used by management. The trends illustrated in the following table may not be indicative of future results.</w:t>
      </w:r>
    </w:p>
    <w:p>
      <w:pPr>
        <w:spacing w:after="0" w:line="131" w:lineRule="exact"/>
        <w:rPr>
          <w:sz w:val="20"/>
          <w:szCs w:val="20"/>
          <w:color w:val="auto"/>
        </w:rPr>
      </w:pPr>
    </w:p>
    <w:tbl>
      <w:tblPr>
        <w:tblLayout w:type="fixed"/>
        <w:tblInd w:w="7100" w:type="dxa"/>
        <w:tblCellMar>
          <w:top w:w="0" w:type="dxa"/>
          <w:left w:w="0" w:type="dxa"/>
          <w:bottom w:w="0" w:type="dxa"/>
          <w:right w:w="0" w:type="dxa"/>
        </w:tblCellMar>
      </w:tblPr>
      <w:tr>
        <w:trPr>
          <w:trHeight w:val="212"/>
        </w:trPr>
        <w:tc>
          <w:tcPr>
            <w:tcW w:w="1180" w:type="dxa"/>
            <w:vAlign w:val="bottom"/>
          </w:tcPr>
          <w:p>
            <w:pPr>
              <w:jc w:val="right"/>
              <w:ind w:right="112"/>
              <w:spacing w:after="0"/>
              <w:rPr>
                <w:sz w:val="20"/>
                <w:szCs w:val="20"/>
                <w:color w:val="auto"/>
              </w:rPr>
            </w:pPr>
            <w:r>
              <w:rPr>
                <w:rFonts w:ascii="Arial" w:cs="Arial" w:eastAsia="Arial" w:hAnsi="Arial"/>
                <w:sz w:val="18"/>
                <w:szCs w:val="18"/>
                <w:b w:val="1"/>
                <w:bCs w:val="1"/>
                <w:color w:val="auto"/>
                <w:w w:val="98"/>
              </w:rPr>
              <w:t>Year ended</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Year ended</w:t>
            </w:r>
          </w:p>
        </w:tc>
      </w:tr>
      <w:tr>
        <w:trPr>
          <w:trHeight w:val="212"/>
        </w:trPr>
        <w:tc>
          <w:tcPr>
            <w:tcW w:w="1180" w:type="dxa"/>
            <w:vAlign w:val="bottom"/>
          </w:tcPr>
          <w:p>
            <w:pPr>
              <w:jc w:val="right"/>
              <w:ind w:right="112"/>
              <w:spacing w:after="0"/>
              <w:rPr>
                <w:sz w:val="20"/>
                <w:szCs w:val="20"/>
                <w:color w:val="auto"/>
              </w:rPr>
            </w:pPr>
            <w:r>
              <w:rPr>
                <w:rFonts w:ascii="Arial" w:cs="Arial" w:eastAsia="Arial" w:hAnsi="Arial"/>
                <w:sz w:val="18"/>
                <w:szCs w:val="18"/>
                <w:b w:val="1"/>
                <w:bCs w:val="1"/>
                <w:color w:val="auto"/>
                <w:w w:val="85"/>
              </w:rPr>
              <w:t>31 December</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31 December</w:t>
            </w:r>
          </w:p>
        </w:tc>
      </w:tr>
      <w:tr>
        <w:trPr>
          <w:trHeight w:val="229"/>
        </w:trPr>
        <w:tc>
          <w:tcPr>
            <w:tcW w:w="118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4240" w:type="dxa"/>
            <w:vAlign w:val="bottom"/>
            <w:gridSpan w:val="2"/>
            <w:vMerge w:val="restart"/>
          </w:tcPr>
          <w:p>
            <w:pPr>
              <w:jc w:val="right"/>
              <w:ind w:right="292"/>
              <w:spacing w:after="0"/>
              <w:rPr>
                <w:sz w:val="20"/>
                <w:szCs w:val="20"/>
                <w:color w:val="auto"/>
              </w:rPr>
            </w:pPr>
            <w:r>
              <w:rPr>
                <w:rFonts w:ascii="Arial" w:cs="Arial" w:eastAsia="Arial" w:hAnsi="Arial"/>
                <w:sz w:val="18"/>
                <w:szCs w:val="18"/>
                <w:b w:val="1"/>
                <w:bCs w:val="1"/>
                <w:color w:val="auto"/>
              </w:rPr>
              <w:t>As a percentage of net revenue</w:t>
            </w:r>
          </w:p>
        </w:tc>
        <w:tc>
          <w:tcPr>
            <w:tcW w:w="168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4"/>
              </w:rPr>
              <w:t>Percentage change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4240" w:type="dxa"/>
            <w:vAlign w:val="bottom"/>
            <w:gridSpan w:val="2"/>
            <w:vMerge w:val="continue"/>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in period</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32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100%</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17.9%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 costs (excluding exceptional items)</w:t>
            </w:r>
          </w:p>
        </w:tc>
        <w:tc>
          <w:tcPr>
            <w:tcW w:w="32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64.3%</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64.7%</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17.2%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operating expenses (excluding exceptional items)</w:t>
            </w:r>
          </w:p>
        </w:tc>
        <w:tc>
          <w:tcPr>
            <w:tcW w:w="32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29.0%</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31.2%</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profit (excluding exceptional items)</w:t>
            </w:r>
          </w:p>
        </w:tc>
        <w:tc>
          <w:tcPr>
            <w:tcW w:w="32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6.7%</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93.1%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Exceptional items</w:t>
            </w:r>
          </w:p>
        </w:tc>
        <w:tc>
          <w:tcPr>
            <w:tcW w:w="32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0.5%</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(44.6)%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profit (including exceptional items)</w:t>
            </w:r>
          </w:p>
        </w:tc>
        <w:tc>
          <w:tcPr>
            <w:tcW w:w="32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6.2%</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139.7%</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 months ended 31 December 2012 compared to twelve months ended 31 December 2011</w:t>
      </w:r>
    </w:p>
    <w:p>
      <w:pPr>
        <w:spacing w:after="0" w:line="25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Net revenue for the year ended 31 December 2012 increased by $169.3 million, or 17.9%, from $945.7 million for the year ended 31 December 2011 to $1,115.0 million for the year ended 31 December 2012. Net revenue in the Group’s clinical research segment increased by 17.5% from $874.2 million for the year ended 31 December 2011 to $1,027.5 million for the year ended 31 December 2012. In the Group’s central laboratory business net revenue increased by 22.4% from $71.5 million for the year ended 31 December 2011 to $87.5 million for the year ended December 2012. For the year ended 31 December 2012 approximately 42.3%, 45.8% and 11.9% of the Group’s net revenue was derived in the United States, Europe and Rest of World, respectively.</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and dividends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Direct costs (excluding exceptional items) for the year ended 31 December 2012 increased by $105.1 million, or 17.2%, from $612.0 million for the year ended 31 December 2011 to $717.1 million for the year ended 31 December 2012. As a percentage of net revenue, direct costs (excluding exceptional items) have increased from 64.7% for the year ended 31 December 2011 to 64.3% for the year ended 31 December 2012. In the Group’s clinical research segment, direct costs (excluding exceptional items) increased by 16.5% or $92.7 million during the year ended 31 December 2012. As a percentage of net revenue direct costs (excluding exceptional items) in our clinical research segment have decreased from 64.4% for the year ended 31 December 2011 to 63.9% for the year ended 31 December 2012. In the Group’s central laboratory business, direct costs (excluding exceptional items) increased by 25.4% or $12.4 million during the year ended 31 December 2012. As a percentage of net revenue direct costs (excluding exceptional items) in our central laboratory business have increased from 68.2% for the year ended 31 December 2011 to 70.0% for the year ended 31 December 2012.</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Other operating expenses (excluding exceptional items) for the year ended 31 December 2012 increased by $28.0 million, or 9.5%, from $294.9 million for the year ended 31 December 2011 to $322.9 million for the year ended 31 December 2012. The increase in other operating expenses (excluding exceptional items) for the period arose primarily from an increase in personnel related expenditure of $21.1 million, a decrease in facilities and related costs of $1.5 million, an increase in other general overhead costs of $4.3 million and an increase in depreciation and amortisation expense of $4.1 million, arising principally as a result of the increased amortisation of acquired intangibles and our continued investment in facilities and equipment to support the Company’s growth. General overhead costs (excluding exceptional items) for the year ended 31 December 2011 included $6.0 million in relation to the release of certain non-recurring tax provisions in both our clinical research and central laboratory business, arising from the receipt of additional information in relation to these items. As a percentage of net revenue, other operating expenses (excluding exceptional items), decreased from 31.2% for the year ended 31 December 2011 to 29.0% for the year ended 31 December 2012.</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Exceptional charges of $5.4 million were recorded during the year ended 31 December 2012 (inclusive of the release of $0.1 million relating to the 2011 Restructuring Plans). During the year ended 31 December 2012 the Company completed a review of its operations to improve resource utilisation throughout the business. This review resulted in the adoption of a restructuring plan, to include resource rationalisations in certain areas of the business and a re-organisation of available office space at the Company’s Philadelphia facility. A restructuring charge of $4.6 million was recognised during the year ended 31 December 2012; $3.4 million in respect of resource rationalisations and $1.2 million in respect of lease termination and exit costs. The Company also incurred certain charges in relation to the retirement of Mr. Peter Gray, Vice Chairman of the Board and former CEO. A non-recurring charge of $0.9 million was recognised in respect of this during the year ended 31 December 2012 (</w:t>
      </w:r>
      <w:r>
        <w:rPr>
          <w:rFonts w:ascii="Arial" w:cs="Arial" w:eastAsia="Arial" w:hAnsi="Arial"/>
          <w:sz w:val="17"/>
          <w:szCs w:val="17"/>
          <w:i w:val="1"/>
          <w:iCs w:val="1"/>
          <w:color w:val="auto"/>
        </w:rPr>
        <w:t>see note 7 Exceptional items for further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above, income from operations for the year ended 31 December 2012 increased by $40.5 million, or 139.7%,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80" w:type="dxa"/>
            <w:vAlign w:val="bottom"/>
            <w:gridSpan w:val="5"/>
          </w:tcPr>
          <w:p>
            <w:pPr>
              <w:jc w:val="center"/>
              <w:ind w:left="112"/>
              <w:spacing w:after="0"/>
              <w:rPr>
                <w:sz w:val="20"/>
                <w:szCs w:val="20"/>
                <w:color w:val="auto"/>
              </w:rPr>
            </w:pPr>
            <w:r>
              <w:rPr>
                <w:rFonts w:ascii="Arial" w:cs="Arial" w:eastAsia="Arial" w:hAnsi="Arial"/>
                <w:sz w:val="18"/>
                <w:szCs w:val="18"/>
                <w:b w:val="1"/>
                <w:bCs w:val="1"/>
                <w:color w:val="auto"/>
                <w:w w:val="91"/>
              </w:rPr>
              <w:t>Operating Profit</w:t>
            </w:r>
          </w:p>
        </w:tc>
        <w:tc>
          <w:tcPr>
            <w:tcW w:w="940" w:type="dxa"/>
            <w:vAlign w:val="bottom"/>
          </w:tcPr>
          <w:p>
            <w:pPr>
              <w:spacing w:after="0"/>
              <w:rPr>
                <w:sz w:val="18"/>
                <w:szCs w:val="18"/>
                <w:color w:val="auto"/>
              </w:rPr>
            </w:pPr>
          </w:p>
        </w:tc>
        <w:tc>
          <w:tcPr>
            <w:tcW w:w="1920" w:type="dxa"/>
            <w:vAlign w:val="bottom"/>
            <w:gridSpan w:val="5"/>
          </w:tcPr>
          <w:p>
            <w:pPr>
              <w:ind w:left="340"/>
              <w:spacing w:after="0"/>
              <w:rPr>
                <w:sz w:val="20"/>
                <w:szCs w:val="20"/>
                <w:color w:val="auto"/>
              </w:rPr>
            </w:pPr>
            <w:r>
              <w:rPr>
                <w:rFonts w:ascii="Arial" w:cs="Arial" w:eastAsia="Arial" w:hAnsi="Arial"/>
                <w:sz w:val="18"/>
                <w:szCs w:val="18"/>
                <w:b w:val="1"/>
                <w:bCs w:val="1"/>
                <w:color w:val="auto"/>
                <w:w w:val="99"/>
              </w:rPr>
              <w:t>Operating Margin*</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8"/>
                <w:szCs w:val="18"/>
                <w:b w:val="1"/>
                <w:bCs w:val="1"/>
                <w:color w:val="auto"/>
                <w:w w:val="84"/>
              </w:rPr>
              <w:t>2012</w:t>
            </w:r>
          </w:p>
        </w:tc>
        <w:tc>
          <w:tcPr>
            <w:tcW w:w="7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right"/>
              <w:ind w:right="312"/>
              <w:spacing w:after="0" w:line="192" w:lineRule="exact"/>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8"/>
                <w:szCs w:val="18"/>
                <w:b w:val="1"/>
                <w:bCs w:val="1"/>
                <w:color w:val="auto"/>
                <w:w w:val="84"/>
              </w:rPr>
              <w:t>2012</w:t>
            </w: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spacing w:after="0" w:line="192" w:lineRule="exact"/>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7"/>
              </w:rPr>
              <w:t>(in thousands)</w:t>
            </w: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1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65,625</w:t>
            </w:r>
          </w:p>
        </w:tc>
        <w:tc>
          <w:tcPr>
            <w:tcW w:w="7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4"/>
              </w:rPr>
              <w:t>31,242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1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3,944</w:t>
            </w: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(2,218)</w:t>
            </w: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4.5%</w:t>
            </w: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69,569</w:t>
            </w:r>
          </w:p>
        </w:tc>
        <w:tc>
          <w:tcPr>
            <w:tcW w:w="7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4"/>
              </w:rPr>
              <w:t>29,024</w:t>
            </w: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6.2%</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5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Operating profit as a percentage of net revenue</w:t>
            </w:r>
          </w:p>
        </w:tc>
        <w:tc>
          <w:tcPr>
            <w:tcW w:w="17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8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24" w:name="page25"/>
    <w:bookmarkEnd w:id="24"/>
    <w:p>
      <w:pPr>
        <w:spacing w:after="0"/>
        <w:rPr>
          <w:sz w:val="20"/>
          <w:szCs w:val="20"/>
          <w:color w:val="auto"/>
        </w:rPr>
      </w:pPr>
      <w:r>
        <w:rPr>
          <w:rFonts w:ascii="Arial" w:cs="Arial" w:eastAsia="Arial" w:hAnsi="Arial"/>
          <w:sz w:val="21"/>
          <w:szCs w:val="21"/>
          <w:color w:val="auto"/>
        </w:rPr>
        <w:t xml:space="preserve">Directors’ Report </w:t>
      </w:r>
      <w:r>
        <w:rPr>
          <w:rFonts w:ascii="Arial" w:cs="Arial" w:eastAsia="Arial" w:hAnsi="Arial"/>
          <w:sz w:val="21"/>
          <w:szCs w:val="21"/>
          <w:i w:val="1"/>
          <w:iCs w:val="1"/>
          <w:color w:val="auto"/>
        </w:rPr>
        <w:t>(continued)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and dividends </w:t>
      </w:r>
      <w:r>
        <w:rPr>
          <w:rFonts w:ascii="Arial" w:cs="Arial" w:eastAsia="Arial" w:hAnsi="Arial"/>
          <w:sz w:val="18"/>
          <w:szCs w:val="18"/>
          <w:b w:val="1"/>
          <w:bCs w:val="1"/>
          <w:i w:val="1"/>
          <w:iCs w:val="1"/>
          <w:color w:val="auto"/>
        </w:rPr>
        <w:t>(continued)</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Excluding the impact of exceptional items recognised, income from operations for the year ended 31 December 2012 increased by $36.2 million, or 93.1%,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80" w:type="dxa"/>
            <w:vAlign w:val="bottom"/>
            <w:gridSpan w:val="5"/>
          </w:tcPr>
          <w:p>
            <w:pPr>
              <w:jc w:val="center"/>
              <w:ind w:left="112"/>
              <w:spacing w:after="0"/>
              <w:rPr>
                <w:sz w:val="20"/>
                <w:szCs w:val="20"/>
                <w:color w:val="auto"/>
              </w:rPr>
            </w:pPr>
            <w:r>
              <w:rPr>
                <w:rFonts w:ascii="Arial" w:cs="Arial" w:eastAsia="Arial" w:hAnsi="Arial"/>
                <w:sz w:val="18"/>
                <w:szCs w:val="18"/>
                <w:b w:val="1"/>
                <w:bCs w:val="1"/>
                <w:color w:val="auto"/>
                <w:w w:val="91"/>
              </w:rPr>
              <w:t>Operating Profit</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20" w:type="dxa"/>
            <w:vAlign w:val="bottom"/>
            <w:gridSpan w:val="5"/>
          </w:tcPr>
          <w:p>
            <w:pPr>
              <w:ind w:left="340"/>
              <w:spacing w:after="0"/>
              <w:rPr>
                <w:sz w:val="20"/>
                <w:szCs w:val="20"/>
                <w:color w:val="auto"/>
              </w:rPr>
            </w:pPr>
            <w:r>
              <w:rPr>
                <w:rFonts w:ascii="Arial" w:cs="Arial" w:eastAsia="Arial" w:hAnsi="Arial"/>
                <w:sz w:val="18"/>
                <w:szCs w:val="18"/>
                <w:b w:val="1"/>
                <w:bCs w:val="1"/>
                <w:color w:val="auto"/>
                <w:w w:val="99"/>
              </w:rPr>
              <w:t>Operating Margin*</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8"/>
                <w:szCs w:val="18"/>
                <w:b w:val="1"/>
                <w:bCs w:val="1"/>
                <w:color w:val="auto"/>
                <w:w w:val="84"/>
              </w:rPr>
              <w:t>2012</w:t>
            </w:r>
          </w:p>
        </w:tc>
        <w:tc>
          <w:tcPr>
            <w:tcW w:w="7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3"/>
          </w:tcPr>
          <w:p>
            <w:pPr>
              <w:jc w:val="right"/>
              <w:ind w:right="400"/>
              <w:spacing w:after="0" w:line="192" w:lineRule="exact"/>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16"/>
                <w:szCs w:val="16"/>
                <w:color w:val="auto"/>
              </w:rPr>
            </w:pPr>
          </w:p>
        </w:tc>
        <w:tc>
          <w:tcPr>
            <w:tcW w:w="1460" w:type="dxa"/>
            <w:vAlign w:val="bottom"/>
            <w:tcBorders>
              <w:top w:val="single" w:sz="8" w:color="auto"/>
            </w:tcBorders>
            <w:gridSpan w:val="3"/>
          </w:tcPr>
          <w:p>
            <w:pPr>
              <w:jc w:val="right"/>
              <w:ind w:right="700"/>
              <w:spacing w:after="0" w:line="192"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6"/>
                <w:szCs w:val="16"/>
                <w:color w:val="auto"/>
              </w:rPr>
            </w:pPr>
          </w:p>
        </w:tc>
        <w:tc>
          <w:tcPr>
            <w:tcW w:w="620" w:type="dxa"/>
            <w:vAlign w:val="bottom"/>
            <w:gridSpan w:val="2"/>
          </w:tcPr>
          <w:p>
            <w:pPr>
              <w:jc w:val="right"/>
              <w:spacing w:after="0" w:line="192" w:lineRule="exact"/>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7"/>
              </w:rPr>
              <w:t>(in thousands)</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1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70,905</w:t>
            </w:r>
          </w:p>
        </w:tc>
        <w:tc>
          <w:tcPr>
            <w:tcW w:w="7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4"/>
              </w:rPr>
              <w:t>39,514</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16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4,102</w:t>
            </w: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(673)</w:t>
            </w: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4.7%</w:t>
            </w: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75,007</w:t>
            </w:r>
          </w:p>
        </w:tc>
        <w:tc>
          <w:tcPr>
            <w:tcW w:w="7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color w:val="auto"/>
                <w:w w:val="94"/>
              </w:rPr>
              <w:t>38,841</w:t>
            </w: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6.7%</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Operating profit as a percentage of net revenue</w:t>
            </w:r>
          </w:p>
        </w:tc>
        <w:tc>
          <w:tcPr>
            <w:tcW w:w="16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Interest expense for the period increased from $2.6 million for the year ended 31 December 2011 to $2.9 million for the year ended 31 December 2012. Interest expense for the year ended 31 December 2012 includes $0.9 million (2011: $0.8 million) in respect of non-cash finance charges relating to acquisition contingent consideration. Interest income for the period decreased from $2.3 million for the year ended 31 December 2011 to $2.0 million for the year ended 31 December 2012.</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Provision for income taxes for the period increased from $9.6 million for the year ended 31 December 2011 to $10.4 million for the year ended 31 December 2012. The Company’s effective tax rate for the year ended 31 December 2012 was 15.1% compared with 33.2% for the year ended 31 December 2011. Excluding the impact of exceptional items recognised during the year ended 31 December 2012 the Company’s effective tax rate was 14.9% for the year ended 31 December 2012 compared with 27.9% for the year ended 31 December 2011. The Company’s effective tax rate is principally a function of the distribution of pre-tax profits in the territories in which it operates.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principal risks and uncertainties facing the Group are set out in Appendix A of this annual report.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2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Group’s financial instruments comprise cash and cash equivalents, current asset investments, finance lease obligations and negotiated bank facilities. The main purpose of these financial instruments is to fund the working capital requirements of the Group, the cost of new acquisitions and continued growth. The principal financial risks facing the Group includes currency rate risk, interest rate risk, credit risk and liquidity risk, further details of which are set out in note 25 to the Consolidated financial statements and note 11 to Company financial statements. The Group does not undertake any trading activity in financial instruments. The Group did not enter into any material derivative transactions during 2012 or 2011.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Details of subsequent events are set out in note 30 to the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Company’s Articles of Association</w:t>
      </w: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Articles of Association may be amended by a special resolution passed by the shareholders at an annual or extraordinary general meeting of the Company. A special resolution is passed at a meeting if not less than 75% of the members who vote in person or by proxy at the meeting vote in favour of the resolution. On 17 December 2012 at an Extraordinary General Meeting of the Company, the Articles of Association of the Company were amended in order to facilitate the conversion to a Direct Listing for the ICON Shares on NASDAQ.</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5" w:name="page26"/>
    <w:bookmarkEnd w:id="25"/>
    <w:p>
      <w:pPr>
        <w:spacing w:after="0"/>
        <w:rPr>
          <w:sz w:val="20"/>
          <w:szCs w:val="20"/>
          <w:color w:val="auto"/>
        </w:rPr>
      </w:pPr>
      <w:r>
        <w:rPr>
          <w:rFonts w:ascii="Arial" w:cs="Arial" w:eastAsia="Arial" w:hAnsi="Arial"/>
          <w:sz w:val="21"/>
          <w:szCs w:val="21"/>
          <w:color w:val="auto"/>
        </w:rPr>
        <w:t xml:space="preserve">Directors’ Report </w:t>
      </w:r>
      <w:r>
        <w:rPr>
          <w:rFonts w:ascii="Arial" w:cs="Arial" w:eastAsia="Arial" w:hAnsi="Arial"/>
          <w:sz w:val="21"/>
          <w:szCs w:val="21"/>
          <w:i w:val="1"/>
          <w:iCs w:val="1"/>
          <w:color w:val="auto"/>
        </w:rPr>
        <w:t>(continued)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Secretary</w:t>
      </w:r>
    </w:p>
    <w:p>
      <w:pPr>
        <w:spacing w:after="0" w:line="25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In January 2013 Mr Thomas Lynch was appointed Chairman of the Board of Directors of the Company. On 31 December 2012 Dr Bruce Given retired as Chairman of the Board of Directors of the Company. On 21 February 2013 Professor William Hall was appointed a Director of the Company.</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31 December 2011 Dr Anthony Murphy resigned as Director of the Company. On 1 October 2011 Mr Ciaran Murray was appointed as a Director of the Company and on the same day he resigned as Secretary of the Company. On 1 October 2011 Mr Diarmaid Cunningham was appointed Secretary of the Company. On 30 September 2011 Mr Peter Gray resigned as Chief Executive Officer and was appointed Vice Chairman of the Company. On 19 July 2012 he resigned as Vice Chairman and Director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Details of Directors’ interests in the Group’s shares are set out in note 8 to the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remuneration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Details of Directors’ remuneration is set out in the note 8 to the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power to purchase and allot company shares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the provisions of the Companies Acts 1963 to 2012 the Company may purchase any of its shares. Every contract for the purchase of shares, or under which the Company may become entitled or obliged to purchase shares in the Company shall be authorised by a special resolution of the Company. The Company may cancel any shares so purchased or may hold them as treasury shares or re-issue them.</w:t>
      </w:r>
    </w:p>
    <w:p>
      <w:pPr>
        <w:spacing w:after="0" w:line="215"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On 27 October 2011 the Company announced its intention to commence a share repurchase program of up to $50 million. On 22 November 2011 the Company entered into two separate share repurchase plans of up to $10 million each, covering the periods 23 November 2011 to 31 December 2011 and 1 January 2012 to 20 February 2012 respectively. On 21 February 2012 the Company entered into a further share repurchase plan of up to $20 million, covering the period 22 February 2012 to 22 April 2012. On 27 April 2012 the Company entered into a fourth share repurchase plan of up to $20 million, covering the period 27 April 2012 to 18 July 2012. On 30 July 2012 the Company entered into a fifth share repurchase plan of up to $10 million, covering the period 30 July 2012 to 26 October 2012. Further details of the share repurchase programme can be found in note 23 to the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and Obligations attaching to the Company’s shares</w:t>
      </w: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share capital of the Company is €6,000,000 divided into 100,000,000 ordinary shares of €0.06. 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Company's ordinary shares. Holders of ordinary shares have no conversion or redemption rights. On a show of hands, every holder of an ordinary share present in person or proxy at a general meeting of shareholders shall have one vote with no individual having more than one vote.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6" w:name="page27"/>
    <w:bookmarkEnd w:id="26"/>
    <w:p>
      <w:pPr>
        <w:spacing w:after="0"/>
        <w:rPr>
          <w:sz w:val="20"/>
          <w:szCs w:val="20"/>
          <w:color w:val="auto"/>
        </w:rPr>
      </w:pPr>
      <w:r>
        <w:rPr>
          <w:rFonts w:ascii="Arial" w:cs="Arial" w:eastAsia="Arial" w:hAnsi="Arial"/>
          <w:sz w:val="21"/>
          <w:szCs w:val="21"/>
          <w:color w:val="auto"/>
        </w:rPr>
        <w:t xml:space="preserve">Directors’ Report </w:t>
      </w:r>
      <w:r>
        <w:rPr>
          <w:rFonts w:ascii="Arial" w:cs="Arial" w:eastAsia="Arial" w:hAnsi="Arial"/>
          <w:sz w:val="21"/>
          <w:szCs w:val="21"/>
          <w:i w:val="1"/>
          <w:iCs w:val="1"/>
          <w:color w:val="auto"/>
        </w:rPr>
        <w:t>(continued)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provisions in significant agreements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Group’s customer contracts allow the customer to terminate the contract in the event of a change in control of the Company.</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Group has negotiated banking facilities with a number of financial institutions, details of which are set out in note 22 to the financial statements. Certain of these facilities require repayment of the facility in the event that the Company becomes controlled by any person or persons acting in concert by whom it was not controlled at the date the facility was entered into.</w:t>
      </w:r>
    </w:p>
    <w:p>
      <w:pPr>
        <w:spacing w:after="0" w:line="215"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Furthermore certain Group companies have entered capital grant agreements with the Irish government agency, Enterprise Ireland, whereby the Group covenants that the controlling interest in the Company will not change without Enterprise Ireland’s prior written consent, which will not be unreasonably withheld.</w:t>
      </w:r>
    </w:p>
    <w:p>
      <w:pPr>
        <w:spacing w:after="0" w:line="13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Additionally, the Company's share option and restricted share unit plans contain change in control provisions which allow potentially for the acceleration of the vesting and exercisability of outstanding options and awards of restricted share unit in the event that a change in control occurs with respect to the Company. Other potential consequences for outstanding share options and restricted share units of a change in control following a takeover bid include the assumption of outstanding awards by the surviving company, if not ICON, or the substitution of options or restricted stock of its ordinary shares or that of its parent.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5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The Company is listed on the NASDAQ Global Select Market. The Company complies with the corporate governance listing requirements under the NASDAQ marketplace rules. NASDAQ may provide exemptions from certain NASDAQ corporate governance standards to a foreign private issuer if, among other reasons those standards are contrary to a law, rule or regulation of a public authority exercising jurisdiction over such issuer or contrary to generally accepted business practices in the issuer’s home country of domicile, provided that the foreign private issuer properly notifies NASDAQ and makes the required disclosure except to the extent that such exemptions would be contrary to United States federal securities laws. The Company, as a foreign private issuer, was granted an exemption in 1998 from provisions set forth in NASDAQ Rule 4350(f), which requires each issuer to provide for a quorum in its by-laws for any meeting of the holders of common stock, which shall in no case be less than 33.33% of the outstanding shares of the issuer’s outstanding voting stock. The Company’s Articles of Association require that only 3 members be present, in person or by proxy, at a shareholder meeting to constitute a quorum. This quorum requirement is in accordance with Irish law and generally accepted business practices in Ireland.</w:t>
      </w:r>
    </w:p>
    <w:p>
      <w:pPr>
        <w:spacing w:after="0" w:line="39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On 16 April 2013, the Company notified NASDAQ that it has elected to follow Irish company law practice in lieu of the requirements of (i) NASDAQ Listing Rule 5635(c) and IM-5635-1, which require shareholder approval prior to the establishment or material amendment of a stock option or purchase plan or other equity compensation arrangement made or materially amended, pursuant to which stock may be acquired by officers, directors, employees or consultants, (ii) NASDAQ Listing Rule 5602(b)(2), which requires that independent directors hold regularly scheduled meetings at which only independent directors are present and (iii) such other requirements of NASDAQ Listing Rule 5600 with the exception of those rules which are required to be followed pursuant to provisions of NASDAQ Listing Rule as may be specified in ICON’s Form 20-F. The Company's practices with regard to these requirements are not prohibited by Irish law.</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7" w:name="page28"/>
    <w:bookmarkEnd w:id="27"/>
    <w:p>
      <w:pPr>
        <w:spacing w:after="0"/>
        <w:rPr>
          <w:sz w:val="20"/>
          <w:szCs w:val="20"/>
          <w:color w:val="auto"/>
        </w:rPr>
      </w:pPr>
      <w:r>
        <w:rPr>
          <w:rFonts w:ascii="Arial" w:cs="Arial" w:eastAsia="Arial" w:hAnsi="Arial"/>
          <w:sz w:val="21"/>
          <w:szCs w:val="21"/>
          <w:color w:val="auto"/>
        </w:rPr>
        <w:t xml:space="preserve">Directors’ Report </w:t>
      </w:r>
      <w:r>
        <w:rPr>
          <w:rFonts w:ascii="Arial" w:cs="Arial" w:eastAsia="Arial" w:hAnsi="Arial"/>
          <w:sz w:val="21"/>
          <w:szCs w:val="21"/>
          <w:i w:val="1"/>
          <w:iCs w:val="1"/>
          <w:color w:val="auto"/>
        </w:rPr>
        <w:t>(continued)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shareholdings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been notified of the following shareholdings in excess of 3% of the issued share capital of the Company at 31 December 2012:</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66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12"/>
              <w:spacing w:after="0"/>
              <w:rPr>
                <w:sz w:val="20"/>
                <w:szCs w:val="20"/>
                <w:color w:val="auto"/>
              </w:rPr>
            </w:pPr>
            <w:r>
              <w:rPr>
                <w:rFonts w:ascii="Arial" w:cs="Arial" w:eastAsia="Arial" w:hAnsi="Arial"/>
                <w:sz w:val="18"/>
                <w:szCs w:val="18"/>
                <w:b w:val="1"/>
                <w:bCs w:val="1"/>
                <w:color w:val="auto"/>
              </w:rPr>
              <w:t>Number of Shares</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6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Artisan Partners Limited Partnership</w:t>
            </w:r>
          </w:p>
        </w:tc>
        <w:tc>
          <w:tcPr>
            <w:tcW w:w="36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9.6</w:t>
            </w:r>
          </w:p>
        </w:tc>
        <w:tc>
          <w:tcPr>
            <w:tcW w:w="1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5,799,717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Earnest Partners, LLC</w:t>
            </w:r>
          </w:p>
        </w:tc>
        <w:tc>
          <w:tcPr>
            <w:tcW w:w="3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8.9</w:t>
            </w:r>
          </w:p>
        </w:tc>
        <w:tc>
          <w:tcPr>
            <w:tcW w:w="1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5,391,736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Neuberger Berman LLC</w:t>
            </w:r>
          </w:p>
        </w:tc>
        <w:tc>
          <w:tcPr>
            <w:tcW w:w="36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8.7</w:t>
            </w:r>
          </w:p>
        </w:tc>
        <w:tc>
          <w:tcPr>
            <w:tcW w:w="1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5,280,353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Wellington Management Company LLP</w:t>
            </w:r>
          </w:p>
        </w:tc>
        <w:tc>
          <w:tcPr>
            <w:tcW w:w="3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5.2</w:t>
            </w:r>
          </w:p>
        </w:tc>
        <w:tc>
          <w:tcPr>
            <w:tcW w:w="1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3,158,246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Wasatch Advisors, Inc.</w:t>
            </w:r>
          </w:p>
        </w:tc>
        <w:tc>
          <w:tcPr>
            <w:tcW w:w="36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5.1</w:t>
            </w:r>
          </w:p>
        </w:tc>
        <w:tc>
          <w:tcPr>
            <w:tcW w:w="1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3,107,163</w:t>
            </w: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Directors and Officers as a group</w:t>
            </w:r>
          </w:p>
        </w:tc>
        <w:tc>
          <w:tcPr>
            <w:tcW w:w="3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4.2</w:t>
            </w:r>
          </w:p>
        </w:tc>
        <w:tc>
          <w:tcPr>
            <w:tcW w:w="1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2,534,112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undertakings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the Companies Act, 1963 in relation to subsidiary undertakings is presented in note 31 to the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Political donations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Group made no disclosable political donations in the period.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Directors have a reasonable expectation that the Group has adequate resources to continue in operation for the foreseeable future. For this reason, the Group continues to adopt the going concern basis in preparing the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account</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Directors believe that they have complied with the requirements of Section 202 of the Companies Act, 1990 with regard to books of account by employing accounting personnel with appropriate expertise and by providing adequate resources to the financial function. The books of account of the Company are maintained at the registered office.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Section 160(2) of the Companies Act, 1963, the auditors, KPMG, Chartered Accountants, will continue in office.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behalf of the Board</w:t>
      </w:r>
    </w:p>
    <w:p>
      <w:pPr>
        <w:sectPr>
          <w:pgSz w:w="11900" w:h="16838" w:orient="portrait"/>
          <w:cols w:equalWidth="0" w:num="1">
            <w:col w:w="11420"/>
          </w:cols>
          <w:pgMar w:left="240" w:top="503" w:right="239" w:bottom="1440" w:gutter="0" w:footer="0" w:header="0"/>
        </w:sect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Declan McKeon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Ciaran Murray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ectPr>
          <w:pgSz w:w="11900" w:h="16838" w:orient="portrait"/>
          <w:cols w:equalWidth="0" w:num="2">
            <w:col w:w="2720" w:space="720"/>
            <w:col w:w="7980"/>
          </w:cols>
          <w:pgMar w:left="240" w:top="503" w:right="239" w:bottom="1440" w:gutter="0" w:footer="0" w:header="0"/>
          <w:type w:val="continuous"/>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color w:val="auto"/>
        </w:rPr>
        <w:t>Statement of Directors’ Responsibilities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Responsibilities Statement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Directors are responsible for preparing the Consolidated and Company financial statements, in accordance with applicable law and regulations.</w:t>
      </w:r>
    </w:p>
    <w:p>
      <w:pPr>
        <w:spacing w:after="0" w:line="255"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Company law requires the Directors to prepare Group and Company financial statements for each financial year. Under that law the Directors are required to prepare the Group financial statements in accordance with International Financial Reporting Standards (“IFRS”) as adopted by the EU and have elected to prepare the Company financial statements in accordance with IFRSs as adopted by the EU and as applied in accordance with the Companies Acts 1963 to 2012.</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Group and Company financial statements are required by law and IFRSs as adopted by the EU to present fairly the financial position and performance of the Group and Company. The Companies Acts 1963 to 2012 provide in relation to such financial statements that references in the relevant part of that Act to financial statements giving a true and fair view are references to their achieving a fair presentation.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preparing each of the Group and Company financial statements, the Directors are required to:</w:t>
      </w:r>
    </w:p>
    <w:p>
      <w:pPr>
        <w:spacing w:after="0" w:line="16" w:lineRule="exact"/>
        <w:rPr>
          <w:sz w:val="20"/>
          <w:szCs w:val="20"/>
          <w:color w:val="auto"/>
        </w:rPr>
      </w:pPr>
    </w:p>
    <w:p>
      <w:pPr>
        <w:ind w:left="320" w:hanging="31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 suitable accounting policies and then apply them consistently;</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judgments and estimates that are reasonable and prudent;</w:t>
      </w:r>
    </w:p>
    <w:p>
      <w:pPr>
        <w:spacing w:after="0" w:line="5" w:lineRule="exact"/>
        <w:rPr>
          <w:rFonts w:ascii="Arial" w:cs="Arial" w:eastAsia="Arial" w:hAnsi="Arial"/>
          <w:sz w:val="18"/>
          <w:szCs w:val="18"/>
          <w:color w:val="auto"/>
        </w:rPr>
      </w:pPr>
    </w:p>
    <w:p>
      <w:pPr>
        <w:ind w:left="320" w:hanging="314"/>
        <w:spacing w:after="0" w:line="245"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 that the financial statements comply with the IFRSs as adopted by the EU, and in the case of the Company, as applied in accordance with the Companies Acts 1963 to 2012; and</w:t>
      </w:r>
    </w:p>
    <w:p>
      <w:pPr>
        <w:spacing w:after="0" w:line="1" w:lineRule="exact"/>
        <w:rPr>
          <w:rFonts w:ascii="Arial" w:cs="Arial" w:eastAsia="Arial" w:hAnsi="Arial"/>
          <w:sz w:val="18"/>
          <w:szCs w:val="18"/>
          <w:color w:val="auto"/>
        </w:rPr>
      </w:pPr>
    </w:p>
    <w:p>
      <w:pPr>
        <w:ind w:left="320" w:hanging="314"/>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prepare the financial statements on a going concern basis unless it is inappropriate to presume that the Group and Company will continue in business.</w:t>
      </w:r>
    </w:p>
    <w:p>
      <w:pPr>
        <w:spacing w:after="0" w:line="2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Directors are responsible for keeping proper books of account that disclose with reasonable accuracy at any time the financial position of the Company and the Group and enable them to ensure that the financial statements comply with the Companies Acts 1963 to 2012 and, as regards the Group financial statements, Article 4 of the IAS Regulation. They are also responsible for taking such steps as are reasonably open to them to safeguard the assets of the Group and Company and to prevent and detect fraud and other irregularities.</w:t>
      </w:r>
    </w:p>
    <w:p>
      <w:pPr>
        <w:spacing w:after="0" w:line="218"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The Directors are responsible for the maintenance and integrity of the corporate and financial information included on the Company’s website. Legislation in the Republic of Ireland governing the preparation and dissemination of financial statements may differ from legislation in other jurisdictions.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behalf of the board</w:t>
      </w:r>
    </w:p>
    <w:p>
      <w:pPr>
        <w:sectPr>
          <w:pgSz w:w="11900" w:h="16838" w:orient="portrait"/>
          <w:cols w:equalWidth="0" w:num="1">
            <w:col w:w="11420"/>
          </w:cols>
          <w:pgMar w:left="240" w:top="512" w:right="239" w:bottom="1440" w:gutter="0" w:footer="0" w:header="0"/>
        </w:sect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Declan McKeon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Ciaran Murray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ectPr>
          <w:pgSz w:w="11900" w:h="16838" w:orient="portrait"/>
          <w:cols w:equalWidth="0" w:num="2">
            <w:col w:w="2720" w:space="720"/>
            <w:col w:w="7980"/>
          </w:cols>
          <w:pgMar w:left="240" w:top="512" w:right="239" w:bottom="1440" w:gutter="0" w:footer="0" w:header="0"/>
          <w:type w:val="continuous"/>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color w:val="auto"/>
        </w:rPr>
        <w:t>Independent Auditor’s Report to the Members of ICON plc</w:t>
      </w:r>
    </w:p>
    <w:p>
      <w:pPr>
        <w:spacing w:after="0" w:line="200" w:lineRule="exact"/>
        <w:rPr>
          <w:sz w:val="20"/>
          <w:szCs w:val="20"/>
          <w:color w:val="auto"/>
        </w:rPr>
      </w:pP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have audited the Group and Company financial statements (‘‘financial statements’’) of ICON Plc for the year ended December 31, 2012 which comprise the Consolidated Income Statement, the Consolidated and Company Statements of Financial Position, the Consolidated and Company Statements of Cash Flow, the Consolidated Statements of Comprehensive Income, the Consolidated and Company Statements of Changes in Equity and the related notes. The financial reporting framework that has been applied in their preparation is Irish law and International Financial Reporting Standards (IFRSs) as adopted by the European Union, and, as regards the Company financial statements, as applied in accordance with the provisions of the Companies Acts 1963 to 2012.</w:t>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report is made solely to the Company’s members, as a body, in accordance with section 193 of the Companies Act 1990.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this report, or for the opinions we have formed.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Respective responsibilities of directors and auditor</w:t>
      </w: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explained more fully in the Directors’ Responsibilities Statement set out on page 10, the Directors are responsible for the preparation of the financial statements giving a true and fair view. Our responsibility is to audit and express an opinion on the financial statements in accordance with Irish law and International Standards on Auditing (UK and Ireland). Those standards require us to comply with the Ethical Standards for Auditors issued by the Auditing Practices Board.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of the audit of the financial statements</w:t>
      </w:r>
    </w:p>
    <w:p>
      <w:pPr>
        <w:spacing w:after="0" w:line="25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An audit involves obtaining evidence about the amounts and disclosures in the financial statements sufficient to give reasonable assurance that the financial statements are free from material misstatement, whether caused by fraud or error. This includes an assessment of: whether the accounting policies are appropriate to the Group’s and Company’s circumstances and have been consistently applied and adequately disclosed; the reasonableness of significant accounting estimates made by the directors; and the overall presentation of the financial statements. In addition, we read all the financial and non-financial information in the annual report to identify material inconsistencies with the audited financial statements. If we become aware of any apparent material misstatements or inconsistencies we consider the implications for our report.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In our opinion:</w:t>
      </w:r>
    </w:p>
    <w:p>
      <w:pPr>
        <w:spacing w:after="0" w:line="16" w:lineRule="exact"/>
        <w:rPr>
          <w:sz w:val="20"/>
          <w:szCs w:val="20"/>
          <w:color w:val="auto"/>
        </w:rPr>
      </w:pPr>
    </w:p>
    <w:p>
      <w:pPr>
        <w:ind w:left="320" w:hanging="314"/>
        <w:spacing w:after="0" w:line="245"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Group financial statements give a true and fair view, in accordance with IFRSs as adopted by the EU, of the state of the Group’s affairs as at 31 December 2012 and of its profit for the year then ended;</w:t>
      </w:r>
    </w:p>
    <w:p>
      <w:pPr>
        <w:spacing w:after="0" w:line="1" w:lineRule="exact"/>
        <w:rPr>
          <w:rFonts w:ascii="Arial" w:cs="Arial" w:eastAsia="Arial" w:hAnsi="Arial"/>
          <w:sz w:val="18"/>
          <w:szCs w:val="18"/>
          <w:color w:val="auto"/>
        </w:rPr>
      </w:pPr>
    </w:p>
    <w:p>
      <w:pPr>
        <w:ind w:left="320" w:hanging="314"/>
        <w:spacing w:after="0" w:line="245"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statement of financial position gives a true and fair view, in accordance with IFRSs as adopted by the EU as applied in accordance with the provisions of the Companies Acts 1963 to 2012, of the state of the Company’s affairs as at 31 December 2012; and</w:t>
      </w:r>
    </w:p>
    <w:p>
      <w:pPr>
        <w:spacing w:after="0" w:line="1" w:lineRule="exact"/>
        <w:rPr>
          <w:rFonts w:ascii="Arial" w:cs="Arial" w:eastAsia="Arial" w:hAnsi="Arial"/>
          <w:sz w:val="18"/>
          <w:szCs w:val="18"/>
          <w:color w:val="auto"/>
        </w:rPr>
      </w:pPr>
    </w:p>
    <w:p>
      <w:pPr>
        <w:ind w:left="320" w:hanging="314"/>
        <w:spacing w:after="0" w:line="251"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financial statements have been properly prepared in accordance with the Companies Acts 1963 to 2012 and, as regards the Group financial statements, Article 4 of the IAS Regulation.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on which we are required to report by the Companies Acts 1963 to 2012</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 have obtained all the information and explanations which we consider necessary for the purposes of our audit.</w:t>
      </w:r>
    </w:p>
    <w:p>
      <w:pPr>
        <w:spacing w:after="0" w:line="24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Company’s statement of financial position is in agreement with the books of account and, in our opinion, proper books of account have been kept by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 our opinion the information given in the Directors’ report is consistent with the financial statements.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net assets of the Company, as stated in the statement of financial position are more than half of the amount of its called-up share capital and, in our opinion, on that basis there did not exist at 31 December 2012 a financial situation which under Section 40(1) of the Companies (Amendment) Act, 1983 would require the convening of an extraordinary general meeting of the Company.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on which we are required to report by exception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 have nothing to report in respect of the following:</w:t>
      </w:r>
    </w:p>
    <w:p>
      <w:pPr>
        <w:spacing w:after="0" w:line="1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Under the Companies Acts 1963 to 2012 we are required to report to you if, in our opinion, the disclosures of Directors’ remuneration and transactions specified by law are not made.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Sean O’Keefe (Senior Statutory Auditor)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 KPMG, Statutory Auditor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Chartered Accountants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Auditor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1Stokes place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 Stephens Green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Dublin, Ireland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23 April 2013</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Statement of Accounting Policies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25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Group financial statements have been prepared in accordance with International Financial Reporting Standards (IFRS) that are adopted by the European Union (EU) that are effective at 31 December 2012. The Directors have elected to prepare the Company financial statements in accordance with IFRS as adopted by the EU and as applied in accordance with the Companies Acts 1963 to 2012. In accordance with the Companies Acts 1963 to 2012, a company that publishes its Group and Company financial statements together, can take advantage of the exemption in Section 148(8) of the Companies Act 1963 from presenting to its members a Company income statement and related notes that form part of the approved Company financial statements.</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Group financial statements have been prepared in accordance with the amendment to IAS 1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This amendment sets overall requirements for the presentation of financial statements, guidelines for their structure and minimum requirements for their content. The revised standard aims to improve users’ ability to analyse and compare information given in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preparation</w:t>
      </w: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Group and Company financial statements are presented in U.S. dollars and all values are rounded to the nearest thousand ($ ‘000), except where otherwise indicated, this being the reporting currency of the Group. They are prepared on the historical cost basis, except for the measurement at fair value on date of grant of share options, the UK defined benefit pension plan and certain deferred contingent consideration payable on acquisitions. Accounting policies are applied consistently with the prior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accounting policies which involve significant estimates and judgments</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preparation of consolidated financial statements requires management to make estimates and judgments that affect the reported amounts of assets and liabilities at the date of the financial statements and the reported amounts of revenues and expenses during the reported period.</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Estimates and judgments are based on historical experience and on other factors that are reasonable under current circumstances. Actual results may differ from these estimates if these assumptions prove to be incorrect or if conditions develop other than as assumed for the purposes of such estimates. The following are the critical areas requiring estimates and judgments by management.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4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Significant management judgments and estimates must be made and used in connection with the recognition of revenue in each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 Revenues are earned by providing a number of different services to clients. These services include clinical trials management, biometric activities, consulting, imaging, contract staffing, informatics and laboratory services. Revenue for services, as rendered, are recognised only after persuasive evidence of an arrangement exists, the sales price is fixed or determinable, risks and rewards have transferred and collectability is reasonably assured.</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Customers are invoiced upon the achievement of specified contractual milestones. This mechanism, which allows the Group to receive payment from customers throughout the duration of the contract, is not reflective of revenue earned. Revenues are recognised over the period from the awarding of the customer’s contract to study completion and acceptance. This requires an estimate of the total expected revenue, time inputs, contract costs, profitability and expected duration of the clinical trial. The Group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the group may routinely adjust time estimates, the estimates and assumptions have historically been accurate in all material respects in the aggregate.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 xml:space="preserve">Statement of Accounting Policies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Key accounting policies which involve significant estimates and judgments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If the Group does not reasonably estimate the resources required or the scope of the work to be performed, or does not manage its projects properly within the planned cost or satisfy obligations under the contracts, then future results may be significantly and negatively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is reviewed for impairment annually or more frequently if facts or circumstances warrant such a review. Goodwill is evaluated for impairment by comparing the recoverable amount of the cash-generating unit to the carrying amount of the cash-generating unit to which the goodwill relates. If the recoverable amount is less than the carrying amount an impairment is determined.</w:t>
      </w:r>
    </w:p>
    <w:p>
      <w:pPr>
        <w:spacing w:after="0" w:line="21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recoverable amount of the cash-generating unit is determined using a value-in-use computation based upon discounted net present value cash flow projections for the business. The cash flow projections are for a period of five years forward together with a terminal value calculated in accordance with the Gordon’s terminal value model. Management’s estimates of future cash flows are based upon anticipated growth rates within the CRO industry, expected growth in the Group’s market share and past experience. The key assumptions applied in determining expected future cash flows include management’s estimate of future profitability, replacement capital expenditure requirements, trade working capital investment needs and tax considerations. The Group’s cash flow model is adjusted each year for actual and expected changes in performance.</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Use of different estimates or judgments, particularly with respect to expected profitability could result in a material impairment charge. The Group believes reasonable estimates and judgments have been used in assessing the recoverable amounts of its cash-generating units.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2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Given the global nature of the business and the multiple taxing jurisdictions in which the Group operates, the determination of the Group’s provision for income taxes requires significant judgments and estimates, the ultimate tax outcome of which may not be certain. Although estimates are believed to be reasonable, the final outcome of these matters may be different than those reflected in the historical income tax provisions and accruals. Such differences could have a material effect on the income tax provision and results in the period during which such determination is made.</w:t>
      </w:r>
    </w:p>
    <w:p>
      <w:pPr>
        <w:spacing w:after="0" w:line="20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Deferred tax assets and liabilities are determined using enacted tax rates for the effects of net operating losses and temporary differences between the book and tax bases of assets and liabilities. In assessing the realisability of deferred tax assets, management considers whether it is more likely than not that some portion or all of the deferred tax assets will not be realised. The ultimate realisation of deferred tax assets is dependent upon the generation of future taxable income during the periods in which those temporary differences become deductible. While management considers the scheduled reversal of deferred tax liabilities, and projected future taxable income in making this assessment, there can be no assurance that these deferred tax assets may be realisable.</w:t>
      </w:r>
    </w:p>
    <w:p>
      <w:pPr>
        <w:spacing w:after="0" w:line="178"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In addition, the Group may also be subject to audits in the multiple taxing jurisdictions in which it operates. These audits can involve complex issues which may require an extended period of time for resolution. Management believe that adequate provisions for income taxes have been made in the financial statements.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33" w:name="page34"/>
    <w:bookmarkEnd w:id="33"/>
    <w:p>
      <w:pPr>
        <w:spacing w:after="0"/>
        <w:rPr>
          <w:sz w:val="20"/>
          <w:szCs w:val="20"/>
          <w:color w:val="auto"/>
        </w:rPr>
      </w:pPr>
      <w:r>
        <w:rPr>
          <w:rFonts w:ascii="Arial" w:cs="Arial" w:eastAsia="Arial" w:hAnsi="Arial"/>
          <w:sz w:val="21"/>
          <w:szCs w:val="21"/>
          <w:color w:val="auto"/>
        </w:rPr>
        <w:t xml:space="preserve">Statement of Accounting Policies </w:t>
      </w:r>
      <w:r>
        <w:rPr>
          <w:rFonts w:ascii="Arial" w:cs="Arial" w:eastAsia="Arial" w:hAnsi="Arial"/>
          <w:sz w:val="21"/>
          <w:szCs w:val="21"/>
          <w:i w:val="1"/>
          <w:iCs w:val="1"/>
          <w:color w:val="auto"/>
        </w:rPr>
        <w:t>(continued)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Key accounting policies which involve significant estimates and judgments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relating to Business Combinations</w:t>
      </w:r>
    </w:p>
    <w:p>
      <w:pPr>
        <w:spacing w:after="0" w:line="24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Group has concluded a number of business combinations in recent years. The fair value of the consideration of a business combination is measured as the aggregate of the fair values at the date of exchange of assets given, liabilities incurred or assumed, and equity instruments issued in exchange for control. The fair value of the consideration of a business combination may include a portion which is contingent upon the achievement of certain future events, such as the achievement of a particular revenue or earnings target. Where a business combination agreement provides for such additional consideration, the amount of the estimated consideration is recognised on the acquisition date at fair value. The accounting treatment of any changes to the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an asset or liability any adjustment will be accounted for through the consolidated incomes statement.</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 management judgments and estimates are required in estimating the acquisition date fair value of the additional consideration. Changes in business conditions or the performance of the acquired business could lead to a significant change between our estimate of the acquisition date fair value and amounts payable, which could have a serious impact on our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IFRS’s and International Financial Reporting Interpretations Committee (IFRIC) Interpretations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IFRS and IFRIC Interpretations adopted during the financial year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Group has adopted the following new and revised IFRS and IFRIC interpretations in respect of the 2012 financial year-end:</w:t>
      </w:r>
    </w:p>
    <w:p>
      <w:pPr>
        <w:spacing w:after="0" w:line="244" w:lineRule="exact"/>
        <w:rPr>
          <w:sz w:val="20"/>
          <w:szCs w:val="20"/>
          <w:color w:val="auto"/>
        </w:rPr>
      </w:pPr>
    </w:p>
    <w:p>
      <w:pPr>
        <w:ind w:left="640" w:hanging="19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IAS 12 Income Taxes (amendment) effective 1 January 2012</w:t>
      </w:r>
    </w:p>
    <w:p>
      <w:pPr>
        <w:spacing w:after="0" w:line="243" w:lineRule="exact"/>
        <w:rPr>
          <w:rFonts w:ascii="Arial" w:cs="Arial" w:eastAsia="Arial" w:hAnsi="Arial"/>
          <w:sz w:val="18"/>
          <w:szCs w:val="18"/>
          <w:color w:val="auto"/>
        </w:rPr>
      </w:pPr>
    </w:p>
    <w:p>
      <w:pPr>
        <w:ind w:left="640" w:hanging="19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Presentation of Items of Other Comprehensive Income (Amendments to IAS 1) effective 1 July 2012</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The application of the standards and interpretations noted above did not result in material changes in the Group’s Consolidated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IFRS and IFRIC Interpretations effective in respect of the 2013 and future financial year-ends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Group has not applied the following standards and interpretations that have been issued which are not yet effective:</w:t>
      </w:r>
    </w:p>
    <w:p>
      <w:pPr>
        <w:spacing w:after="0" w:line="244" w:lineRule="exact"/>
        <w:rPr>
          <w:sz w:val="20"/>
          <w:szCs w:val="20"/>
          <w:color w:val="auto"/>
        </w:rPr>
      </w:pPr>
    </w:p>
    <w:p>
      <w:pPr>
        <w:ind w:left="640" w:hanging="19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IAS 19 Employee benefits (amendment) effective 1 January 2013</w:t>
      </w:r>
    </w:p>
    <w:p>
      <w:pPr>
        <w:spacing w:after="0" w:line="243" w:lineRule="exact"/>
        <w:rPr>
          <w:rFonts w:ascii="Arial" w:cs="Arial" w:eastAsia="Arial" w:hAnsi="Arial"/>
          <w:sz w:val="18"/>
          <w:szCs w:val="18"/>
          <w:color w:val="auto"/>
        </w:rPr>
      </w:pPr>
    </w:p>
    <w:p>
      <w:pPr>
        <w:ind w:left="640" w:hanging="19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IFRS 13 Fair Value Measurement effective 1 January 2013</w:t>
      </w:r>
    </w:p>
    <w:p>
      <w:pPr>
        <w:spacing w:after="0" w:line="243" w:lineRule="exact"/>
        <w:rPr>
          <w:rFonts w:ascii="Arial" w:cs="Arial" w:eastAsia="Arial" w:hAnsi="Arial"/>
          <w:sz w:val="18"/>
          <w:szCs w:val="18"/>
          <w:color w:val="auto"/>
        </w:rPr>
      </w:pPr>
    </w:p>
    <w:p>
      <w:pPr>
        <w:ind w:left="640" w:hanging="19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IFRIC Interpretation 20 Stripping Costs in the Production Phase effective 1 January 2013</w:t>
      </w:r>
    </w:p>
    <w:p>
      <w:pPr>
        <w:spacing w:after="0" w:line="243" w:lineRule="exact"/>
        <w:rPr>
          <w:rFonts w:ascii="Arial" w:cs="Arial" w:eastAsia="Arial" w:hAnsi="Arial"/>
          <w:sz w:val="18"/>
          <w:szCs w:val="18"/>
          <w:color w:val="auto"/>
        </w:rPr>
      </w:pPr>
    </w:p>
    <w:p>
      <w:pPr>
        <w:ind w:left="640" w:hanging="19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Disclosures – Offsetting Financial Assets and Financial Liabilities (Amendment to IFRS 7) effective 1 January 2013</w:t>
      </w:r>
    </w:p>
    <w:p>
      <w:pPr>
        <w:spacing w:after="0" w:line="243" w:lineRule="exact"/>
        <w:rPr>
          <w:rFonts w:ascii="Arial" w:cs="Arial" w:eastAsia="Arial" w:hAnsi="Arial"/>
          <w:sz w:val="18"/>
          <w:szCs w:val="18"/>
          <w:color w:val="auto"/>
        </w:rPr>
      </w:pPr>
    </w:p>
    <w:p>
      <w:pPr>
        <w:ind w:left="640" w:hanging="19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IAS 27 Separate Financial Statements effective 1 January 2013</w:t>
      </w:r>
    </w:p>
    <w:p>
      <w:pPr>
        <w:spacing w:after="0" w:line="243" w:lineRule="exact"/>
        <w:rPr>
          <w:rFonts w:ascii="Arial" w:cs="Arial" w:eastAsia="Arial" w:hAnsi="Arial"/>
          <w:sz w:val="18"/>
          <w:szCs w:val="18"/>
          <w:color w:val="auto"/>
        </w:rPr>
      </w:pPr>
    </w:p>
    <w:p>
      <w:pPr>
        <w:ind w:left="640" w:hanging="19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IAS 28 Investments in Associates and Joint Ventures effective 1 January 2013</w:t>
      </w:r>
    </w:p>
    <w:p>
      <w:pPr>
        <w:spacing w:after="0" w:line="243" w:lineRule="exact"/>
        <w:rPr>
          <w:rFonts w:ascii="Arial" w:cs="Arial" w:eastAsia="Arial" w:hAnsi="Arial"/>
          <w:sz w:val="18"/>
          <w:szCs w:val="18"/>
          <w:color w:val="auto"/>
        </w:rPr>
      </w:pPr>
    </w:p>
    <w:p>
      <w:pPr>
        <w:ind w:left="640" w:hanging="19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IFRS 10 Consolidated Financial Statements effective 1 January 2013</w:t>
      </w:r>
    </w:p>
    <w:p>
      <w:pPr>
        <w:spacing w:after="0" w:line="243" w:lineRule="exact"/>
        <w:rPr>
          <w:rFonts w:ascii="Arial" w:cs="Arial" w:eastAsia="Arial" w:hAnsi="Arial"/>
          <w:sz w:val="18"/>
          <w:szCs w:val="18"/>
          <w:color w:val="auto"/>
        </w:rPr>
      </w:pPr>
    </w:p>
    <w:p>
      <w:pPr>
        <w:ind w:left="640" w:hanging="19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Offsetting Financial Assets and Financial Liabilities (Amendment to IAS 32) effective 1 January 2014</w:t>
      </w:r>
    </w:p>
    <w:p>
      <w:pPr>
        <w:spacing w:after="0" w:line="243" w:lineRule="exact"/>
        <w:rPr>
          <w:rFonts w:ascii="Arial" w:cs="Arial" w:eastAsia="Arial" w:hAnsi="Arial"/>
          <w:sz w:val="18"/>
          <w:szCs w:val="18"/>
          <w:color w:val="auto"/>
        </w:rPr>
      </w:pPr>
    </w:p>
    <w:p>
      <w:pPr>
        <w:ind w:left="640" w:hanging="19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IFRS 10 Consolidated Financial Statements effective 1 January 2014</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4" w:name="page35"/>
    <w:bookmarkEnd w:id="34"/>
    <w:p>
      <w:pPr>
        <w:spacing w:after="0"/>
        <w:rPr>
          <w:sz w:val="20"/>
          <w:szCs w:val="20"/>
          <w:color w:val="auto"/>
        </w:rPr>
      </w:pPr>
      <w:r>
        <w:rPr>
          <w:rFonts w:ascii="Arial" w:cs="Arial" w:eastAsia="Arial" w:hAnsi="Arial"/>
          <w:sz w:val="21"/>
          <w:szCs w:val="21"/>
          <w:color w:val="auto"/>
        </w:rPr>
        <w:t xml:space="preserve">Statement of Accounting Policies </w:t>
      </w:r>
      <w:r>
        <w:rPr>
          <w:rFonts w:ascii="Arial" w:cs="Arial" w:eastAsia="Arial" w:hAnsi="Arial"/>
          <w:sz w:val="21"/>
          <w:szCs w:val="21"/>
          <w:i w:val="1"/>
          <w:iCs w:val="1"/>
          <w:color w:val="auto"/>
        </w:rPr>
        <w:t>(continued)</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IFRS and IFRIC Interpretations effective in respect of the 2013 and future financial year-ends (continued)</w:t>
      </w:r>
    </w:p>
    <w:p>
      <w:pPr>
        <w:spacing w:after="0" w:line="244" w:lineRule="exact"/>
        <w:rPr>
          <w:sz w:val="20"/>
          <w:szCs w:val="20"/>
          <w:color w:val="auto"/>
        </w:rPr>
      </w:pPr>
    </w:p>
    <w:p>
      <w:pPr>
        <w:ind w:left="640" w:hanging="19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IFRS 11 Joint Arrangements effective 1 January 2014</w:t>
      </w:r>
    </w:p>
    <w:p>
      <w:pPr>
        <w:spacing w:after="0" w:line="243" w:lineRule="exact"/>
        <w:rPr>
          <w:rFonts w:ascii="Arial" w:cs="Arial" w:eastAsia="Arial" w:hAnsi="Arial"/>
          <w:sz w:val="18"/>
          <w:szCs w:val="18"/>
          <w:color w:val="auto"/>
        </w:rPr>
      </w:pPr>
    </w:p>
    <w:p>
      <w:pPr>
        <w:ind w:left="640" w:hanging="19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IFRS 12 Disclosure of Interests in Other Entities effective 1 January 2014</w:t>
      </w:r>
    </w:p>
    <w:p>
      <w:pPr>
        <w:spacing w:after="0" w:line="243" w:lineRule="exact"/>
        <w:rPr>
          <w:rFonts w:ascii="Arial" w:cs="Arial" w:eastAsia="Arial" w:hAnsi="Arial"/>
          <w:sz w:val="18"/>
          <w:szCs w:val="18"/>
          <w:color w:val="auto"/>
        </w:rPr>
      </w:pPr>
    </w:p>
    <w:p>
      <w:pPr>
        <w:ind w:left="640" w:hanging="19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IFRS 9 Financial Instruments (2010) effective 1 January 2015*</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*IFRS 9 is not EU endorsed. The Group only apply EU endorsed IFRS</w:t>
      </w:r>
    </w:p>
    <w:p>
      <w:pPr>
        <w:spacing w:after="0" w:line="244" w:lineRule="exact"/>
        <w:rPr>
          <w:sz w:val="20"/>
          <w:szCs w:val="20"/>
          <w:color w:val="auto"/>
        </w:rPr>
      </w:pPr>
    </w:p>
    <w:p>
      <w:pPr>
        <w:ind w:right="840"/>
        <w:spacing w:after="0" w:line="265" w:lineRule="auto"/>
        <w:rPr>
          <w:sz w:val="20"/>
          <w:szCs w:val="20"/>
          <w:color w:val="auto"/>
        </w:rPr>
      </w:pPr>
      <w:r>
        <w:rPr>
          <w:rFonts w:ascii="Arial" w:cs="Arial" w:eastAsia="Arial" w:hAnsi="Arial"/>
          <w:sz w:val="18"/>
          <w:szCs w:val="18"/>
          <w:color w:val="auto"/>
        </w:rPr>
        <w:t>The application of the standards and interpretations noted above is not expected to result in significant changes in the Group’s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following accounting policies have been applied consistently in dealing with items which are considered material in relation to the Group’s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Group financial statements consolidate the financial statements of ICON plc and its subsidiaries. Subsidiaries are consolidated from the date on which control is transferred to the Group and cease to be consolidated from the date on which control is transferred out of the Group. Control exists when the Company has the power, directly or indirectly, to govern the financial and operating policies of an entity so as to obtain economic benefits from its activities. Financial statements of subsidiaries are prepared for the same reporting year as the Company and where necessary, adjustments are made to the results of subsidiaries to bring their accounting policies into line with those used by the Group. The Group will continue to prepare the individual statutory financial statements of subsidiary companies under GAAP applicable in their country of incorporation but adjustments have been made to the results and financial position of such companies to bring their accounting policies into line with those of the Group.</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All inter-company balances and transactions, including unrealised profits arising from inter-group transactions, have been eliminated in full. Unrealised losses are eliminated in the same manner as unrealised gains except to the extent that there is evidence of impairment.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presentation currency of the Group and Company is US dollars ($). The functional currency of the Company is Euros. The Company financial statements have been presented in US dollars due to the Company’s international operations and profile. Results and cash flows of non-dollar denominated undertakings are translated into dollars at the actual exchange rates at the transaction dates or average exchange rates for the year where this is a reasonable approximation. The related statements of financial position are translated at the rates of exchange ruling at the reporting date. Goodwill and fair value adjustments arising on acquisition of a foreign operation are regarded as assets and liabilities of the foreign operation, are expressed in the functional currency of the foreign operation and are recorded at the exchange rate at the date of the transaction, and subsequently retranslated at the applicable closing rates. Adjustments arising on translation of the results of non-dollar undertakings at average rates, and on the restatement of the opening net assets at closing rates, are dealt with in a separate translation reserve within equity.</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Transactions in currencies different to the functional currencies of operations are recorded at the rate of exchange ruling at the date of the transaction. Monetary assets and liabilities denominated in foreign currencies are retranslated into the functional currency at the rate of exchange at the reporting date. All translation differences, with the exception of translation differences on long term intercompany balances where repayment is not foreseen, are taken to the income statement. Transaction differences on long term intercompany balances where repayment is not foreseen are treated as other comprehensive income in the statement of comprehensive income.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5" w:name="page36"/>
    <w:bookmarkEnd w:id="35"/>
    <w:p>
      <w:pPr>
        <w:spacing w:after="0"/>
        <w:rPr>
          <w:sz w:val="20"/>
          <w:szCs w:val="20"/>
          <w:color w:val="auto"/>
        </w:rPr>
      </w:pPr>
      <w:r>
        <w:rPr>
          <w:rFonts w:ascii="Arial" w:cs="Arial" w:eastAsia="Arial" w:hAnsi="Arial"/>
          <w:sz w:val="21"/>
          <w:szCs w:val="21"/>
          <w:color w:val="auto"/>
        </w:rPr>
        <w:t xml:space="preserve">Statement of Accounting Policies </w:t>
      </w:r>
      <w:r>
        <w:rPr>
          <w:rFonts w:ascii="Arial" w:cs="Arial" w:eastAsia="Arial" w:hAnsi="Arial"/>
          <w:sz w:val="21"/>
          <w:szCs w:val="21"/>
          <w:i w:val="1"/>
          <w:iCs w:val="1"/>
          <w:color w:val="auto"/>
        </w:rPr>
        <w:t>(continued)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principal exchange rates used for the translation of results, cash flows and statements of financial position into US dollars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880" w:type="dxa"/>
            <w:vAlign w:val="bottom"/>
          </w:tcPr>
          <w:p>
            <w:pPr>
              <w:jc w:val="right"/>
              <w:spacing w:after="0"/>
              <w:rPr>
                <w:sz w:val="20"/>
                <w:szCs w:val="20"/>
                <w:color w:val="auto"/>
              </w:rPr>
            </w:pPr>
            <w:r>
              <w:rPr>
                <w:rFonts w:ascii="Arial" w:cs="Arial" w:eastAsia="Arial" w:hAnsi="Arial"/>
                <w:sz w:val="18"/>
                <w:szCs w:val="18"/>
                <w:b w:val="1"/>
                <w:bCs w:val="1"/>
                <w:color w:val="auto"/>
              </w:rPr>
              <w:t>Average</w:t>
            </w:r>
          </w:p>
        </w:tc>
        <w:tc>
          <w:tcPr>
            <w:tcW w:w="1140" w:type="dxa"/>
            <w:vAlign w:val="bottom"/>
          </w:tcPr>
          <w:p>
            <w:pPr>
              <w:spacing w:after="0"/>
              <w:rPr>
                <w:sz w:val="18"/>
                <w:szCs w:val="18"/>
                <w:color w:val="auto"/>
              </w:rPr>
            </w:pPr>
          </w:p>
        </w:tc>
        <w:tc>
          <w:tcPr>
            <w:tcW w:w="2620" w:type="dxa"/>
            <w:vAlign w:val="bottom"/>
            <w:gridSpan w:val="2"/>
          </w:tcPr>
          <w:p>
            <w:pPr>
              <w:jc w:val="right"/>
              <w:ind w:right="912"/>
              <w:spacing w:after="0"/>
              <w:rPr>
                <w:sz w:val="20"/>
                <w:szCs w:val="20"/>
                <w:color w:val="auto"/>
              </w:rPr>
            </w:pPr>
            <w:r>
              <w:rPr>
                <w:rFonts w:ascii="Arial" w:cs="Arial" w:eastAsia="Arial" w:hAnsi="Arial"/>
                <w:sz w:val="18"/>
                <w:szCs w:val="18"/>
                <w:b w:val="1"/>
                <w:bCs w:val="1"/>
                <w:color w:val="auto"/>
              </w:rPr>
              <w:t>Year end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880" w:type="dxa"/>
            <w:vAlign w:val="bottom"/>
          </w:tcPr>
          <w:p>
            <w:pPr>
              <w:jc w:val="right"/>
              <w:ind w:right="352"/>
              <w:spacing w:after="0"/>
              <w:rPr>
                <w:sz w:val="20"/>
                <w:szCs w:val="20"/>
                <w:color w:val="auto"/>
              </w:rPr>
            </w:pPr>
            <w:r>
              <w:rPr>
                <w:rFonts w:ascii="Arial" w:cs="Arial" w:eastAsia="Arial" w:hAnsi="Arial"/>
                <w:sz w:val="18"/>
                <w:szCs w:val="18"/>
                <w:b w:val="1"/>
                <w:bCs w:val="1"/>
                <w:color w:val="auto"/>
              </w:rPr>
              <w:t>Year to</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Year to</w:t>
            </w: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880" w:type="dxa"/>
            <w:vAlign w:val="bottom"/>
          </w:tcPr>
          <w:p>
            <w:pPr>
              <w:jc w:val="right"/>
              <w:ind w:right="352"/>
              <w:spacing w:after="0"/>
              <w:rPr>
                <w:sz w:val="20"/>
                <w:szCs w:val="20"/>
                <w:color w:val="auto"/>
              </w:rPr>
            </w:pPr>
            <w:r>
              <w:rPr>
                <w:rFonts w:ascii="Arial" w:cs="Arial" w:eastAsia="Arial" w:hAnsi="Arial"/>
                <w:sz w:val="18"/>
                <w:szCs w:val="18"/>
                <w:b w:val="1"/>
                <w:bCs w:val="1"/>
                <w:color w:val="auto"/>
              </w:rPr>
              <w:t>31 December</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w w:val="86"/>
              </w:rPr>
              <w:t>31 December</w:t>
            </w:r>
          </w:p>
        </w:tc>
        <w:tc>
          <w:tcPr>
            <w:tcW w:w="1380" w:type="dxa"/>
            <w:vAlign w:val="bottom"/>
          </w:tcPr>
          <w:p>
            <w:pPr>
              <w:jc w:val="right"/>
              <w:ind w:right="112"/>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880" w:type="dxa"/>
            <w:vAlign w:val="bottom"/>
          </w:tcPr>
          <w:p>
            <w:pPr>
              <w:jc w:val="right"/>
              <w:ind w:right="352"/>
              <w:spacing w:after="0"/>
              <w:rPr>
                <w:sz w:val="20"/>
                <w:szCs w:val="20"/>
                <w:color w:val="auto"/>
              </w:rPr>
            </w:pPr>
            <w:r>
              <w:rPr>
                <w:rFonts w:ascii="Arial" w:cs="Arial" w:eastAsia="Arial" w:hAnsi="Arial"/>
                <w:sz w:val="18"/>
                <w:szCs w:val="18"/>
                <w:b w:val="1"/>
                <w:bCs w:val="1"/>
                <w:color w:val="auto"/>
              </w:rPr>
              <w:t>2012</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2011</w:t>
            </w:r>
          </w:p>
        </w:tc>
        <w:tc>
          <w:tcPr>
            <w:tcW w:w="138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Euro 1:$</w:t>
            </w:r>
          </w:p>
        </w:tc>
        <w:tc>
          <w:tcPr>
            <w:tcW w:w="38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1.2876</w:t>
            </w: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1.3991</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1.3193</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1.2961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Pound Sterling 1:$</w:t>
            </w:r>
          </w:p>
        </w:tc>
        <w:tc>
          <w:tcPr>
            <w:tcW w:w="38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1.5832</w:t>
            </w: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1.6050</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1.6255</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1.5413</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disposal of a foreign operation, accumulated currency translation differences, together with any exchange differences on foreign currency borrowings that provide a hedge of the net investment are recognised in the income statement as part of the overall gain or loss on disposal; the cumulative currency translation differences arising prior to the transition date have been set to zero for the purposes of ascertaining the gain or loss on disposal of a foreign operation subsequent to 1 June 2004.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Items of property, plant and equipment are stated at cost less accumulated depreciation and any provisions for impairment losses.</w:t>
      </w:r>
    </w:p>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Depreciation is calculated to write off the original cost of property, plant and equipment less its estimated residual value over its expected useful life on a straight line basis. Residual values and useful lives of property, plant and equipment are reviewed and adjusted if appropriate at each reporting date. At present it is estimated that all items of property, plant and equipment have no residual value. The estimated useful lives applied in determining the charge to depreciation are as follows:</w:t>
      </w:r>
    </w:p>
    <w:p>
      <w:pPr>
        <w:spacing w:after="0" w:line="212"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Years</w:t>
            </w:r>
          </w:p>
        </w:tc>
      </w:tr>
      <w:tr>
        <w:trPr>
          <w:trHeight w:val="213"/>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w:t>
            </w:r>
          </w:p>
        </w:tc>
      </w:tr>
      <w:tr>
        <w:trPr>
          <w:trHeight w:val="212"/>
        </w:trPr>
        <w:tc>
          <w:tcPr>
            <w:tcW w:w="3040" w:type="dxa"/>
            <w:vAlign w:val="bottom"/>
          </w:tcPr>
          <w:p>
            <w:pPr>
              <w:spacing w:after="0"/>
              <w:rPr>
                <w:sz w:val="20"/>
                <w:szCs w:val="20"/>
                <w:color w:val="auto"/>
              </w:rPr>
            </w:pPr>
            <w:r>
              <w:rPr>
                <w:rFonts w:ascii="Arial" w:cs="Arial" w:eastAsia="Arial" w:hAnsi="Arial"/>
                <w:sz w:val="18"/>
                <w:szCs w:val="18"/>
                <w:color w:val="auto"/>
              </w:rPr>
              <w:t>Computer equipment</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2-8</w:t>
            </w:r>
          </w:p>
        </w:tc>
      </w:tr>
      <w:tr>
        <w:trPr>
          <w:trHeight w:val="212"/>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fixtures</w:t>
            </w: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w:t>
            </w:r>
          </w:p>
        </w:tc>
      </w:tr>
      <w:tr>
        <w:trPr>
          <w:trHeight w:val="212"/>
        </w:trPr>
        <w:tc>
          <w:tcPr>
            <w:tcW w:w="3040" w:type="dxa"/>
            <w:vAlign w:val="bottom"/>
          </w:tcPr>
          <w:p>
            <w:pPr>
              <w:spacing w:after="0"/>
              <w:rPr>
                <w:sz w:val="20"/>
                <w:szCs w:val="20"/>
                <w:color w:val="auto"/>
              </w:rPr>
            </w:pPr>
            <w:r>
              <w:rPr>
                <w:rFonts w:ascii="Arial" w:cs="Arial" w:eastAsia="Arial" w:hAnsi="Arial"/>
                <w:sz w:val="18"/>
                <w:szCs w:val="18"/>
                <w:color w:val="auto"/>
              </w:rPr>
              <w:t>Laboratory equipment</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5</w:t>
            </w:r>
          </w:p>
        </w:tc>
      </w:tr>
      <w:tr>
        <w:trPr>
          <w:trHeight w:val="212"/>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-673100</wp:posOffset>
            </wp:positionV>
            <wp:extent cx="732790" cy="673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790" cy="67373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-673100</wp:posOffset>
            </wp:positionV>
            <wp:extent cx="3620135" cy="673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20135" cy="673735"/>
                    </a:xfrm>
                    <a:prstGeom prst="rect">
                      <a:avLst/>
                    </a:prstGeom>
                    <a:noFill/>
                  </pic:spPr>
                </pic:pic>
              </a:graphicData>
            </a:graphic>
          </wp:anchor>
        </w:drawing>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Leasehold improvements are amortised using the straight-line method over the estimated useful life of the asset or the lease term, whichever is shorter. Assets acquired under finance leases are depreciated over the shorter of their useful economic life and the lease term.</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On disposal of property, plant and equipment the cost and related accumulated depreciation and impairments are removed from the financial statements and the net amount, less any proceeds, is taken to the income statement.</w:t>
      </w:r>
    </w:p>
    <w:p>
      <w:pPr>
        <w:spacing w:after="0" w:line="206"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carrying amounts of the Group’s property, plant and equipment are reviewed at each reporting date to determine whether there is any indication of impairment. Where such an indication exists an impairment review is carried out. An impairment loss is recognised whenever the carrying amount of an asset or its cash generation unit exceeds its recoverable amount. Impairment losses are recognised in the income statement unless the asset is recorded at a revalued amount in which case it is firstly dealt with through the revaluation reserve with any residual amount being transferred to the income statement.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6" w:name="page37"/>
    <w:bookmarkEnd w:id="36"/>
    <w:p>
      <w:pPr>
        <w:spacing w:after="0"/>
        <w:rPr>
          <w:sz w:val="20"/>
          <w:szCs w:val="20"/>
          <w:color w:val="auto"/>
        </w:rPr>
      </w:pPr>
      <w:r>
        <w:rPr>
          <w:rFonts w:ascii="Arial" w:cs="Arial" w:eastAsia="Arial" w:hAnsi="Arial"/>
          <w:sz w:val="21"/>
          <w:szCs w:val="21"/>
          <w:color w:val="auto"/>
        </w:rPr>
        <w:t xml:space="preserve">Statement of Accounting Policies </w:t>
      </w:r>
      <w:r>
        <w:rPr>
          <w:rFonts w:ascii="Arial" w:cs="Arial" w:eastAsia="Arial" w:hAnsi="Arial"/>
          <w:sz w:val="21"/>
          <w:szCs w:val="21"/>
          <w:i w:val="1"/>
          <w:iCs w:val="1"/>
          <w:color w:val="auto"/>
        </w:rPr>
        <w:t>(continued)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Subsequent costs are included in an asset’s carrying amount or recognised as a separate asset, as appropriate, only when it is probable that future economic benefits associated with the item will flow to the Group and the cost of the replaced item can be measured reliably. All other repair and maintenance costs are charged to the income statement during the financial period in which they are incurred.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Leased assets – as lessee</w:t>
      </w:r>
    </w:p>
    <w:p>
      <w:pPr>
        <w:spacing w:after="0" w:line="25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Finance leases, which transfer to the Group substantially all the risks and benefits of ownership of the leased asset, are capitalised at the inception of the lease at the fair value of the leased asset or if lower the present value of the minimum lease payments. The corresponding liability to the lessor is included in the statement of financial position as a finance lease obligation. Lease payments are apportioned between the finance charges and reduction of the lease obligation so as to achieve a constant rate of interest on the remaining balance of the liability. Finance charges are charged to the income statement as part of finance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Capitalised leased assets are depreciated over the shorter of the estimated useful life of the asset or the lease term.</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Leases where the lessor retains substantially all the risks and benefits of ownership of the assets are classified as operating leases. Operating lease payments are recognised as an expense in the income statement on a straight line basis over the lease term. Lease incentives are recognised over the term of the lease as an integral part of the total lease expense.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subsidiaries - company</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Investments in subsidiary undertakings are stated at cost less provision for impairment in the Company’s statement of financial position. Loans to subsidiary undertakings are initially recorded at fair value in the Company statement of financial position and subsequently at amortised cost using an effective interest rate methodology.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fair value of a business combination is measured as the aggregate of the fair values at the date of exchange of assets given, liabilities incurred or assumed and equity instruments issued in exchange for control plus the fair value of any investment previously held in the entity. Where a business combination agreement provides for an adjustment to the cost of the acquisition which is contingent upon future events, the amount of the estimated adjustment is recognised on the acquisition date at the acquisition date fair value of this contingent consideration. The accounting treatment of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an asset or liability any adjustments will be accounted for through the consolidated income statement.</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re-determined at the date of each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the original acquisition accounting. Acquisition costs are expensed as incurred.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7" w:name="page38"/>
    <w:bookmarkEnd w:id="37"/>
    <w:p>
      <w:pPr>
        <w:spacing w:after="0"/>
        <w:rPr>
          <w:sz w:val="20"/>
          <w:szCs w:val="20"/>
          <w:color w:val="auto"/>
        </w:rPr>
      </w:pPr>
      <w:r>
        <w:rPr>
          <w:rFonts w:ascii="Arial" w:cs="Arial" w:eastAsia="Arial" w:hAnsi="Arial"/>
          <w:sz w:val="21"/>
          <w:szCs w:val="21"/>
          <w:color w:val="auto"/>
        </w:rPr>
        <w:t xml:space="preserve">Statement of Accounting Policies </w:t>
      </w:r>
      <w:r>
        <w:rPr>
          <w:rFonts w:ascii="Arial" w:cs="Arial" w:eastAsia="Arial" w:hAnsi="Arial"/>
          <w:sz w:val="21"/>
          <w:szCs w:val="21"/>
          <w:i w:val="1"/>
          <w:iCs w:val="1"/>
          <w:color w:val="auto"/>
        </w:rPr>
        <w:t>(continued)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Group measures goodwill at the acquisition date as the fair value of the consideration transferred plus the recognised amount of any non-controlling interests in the acquiree, plus if the business combination is achieved in stages, the fair value of the pre-existing equity interest in the acquiree, less the net recognised amount (generally fair value) of the identifiable assets acquired and liabilities assumed. Goodwill on the acquisition of subsidiaries is included in ‘intangible assets – goodwill and other’.</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the acquisition date, any goodwill acquired is allocated to each of the cash-generating units expected to benefit from the combination's synergies. Impairment is determined by assessing the recoverable amount of the cash-generating unit to which the goodwill relates. Where goodwill forms part of a cash-generating unit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on the basis of the relative values of the operation disposed of and the proportion of the cash-generating unit retained.</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initial recognition, goodwill is measured at cost less any accumulated impairment losses. Goodwill relating to acquisitions post 1 June 2001 and the deemed cost of goodwill carried in the statement of financial position at 1 June 2001 is not amortised. Goodwill is reviewed for impairment annually or more frequently if events or changes in circumstances indicate that the carrying value may be impaired.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non financial assets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carrying amounts of the Group’s assets, other than deferred tax assets, are reviewed at each reporting date to determine whether there is any indication of impairment. If any such indication exists, the asset’s recoverable amount is estimated. An estimate of the recoverable amount of goodwill is carried out at each reporting date.</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impairment loss is recognised in the income statement whenever the carrying amount of an asset or its cash generating unit exceeds its recoverable amount. Impairment losses recognised in respect of cash generating units are allocated first to reduce the carrying amount of any goodwill allocated to cash generating units and then, to reduce the carrying amount of other assets in the unit on a pro rata basis.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recoverable value of assets, other than receivables carried at amortised cost and short term receivables, is the greater of their net selling price and value in use. Value in use is assessed by discounting estimated future cash flows of the asset to their present value or discounting the estimated future cash flows of the cash generating unit where the asset does not generate independent cash flows. Estimated cash flows are discounted using a pre tax discount rate reflecting current market estimates of the time value of money and the risks specific to the asset.</w:t>
      </w:r>
    </w:p>
    <w:p>
      <w:pPr>
        <w:spacing w:after="0" w:line="218"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The recoverable amount of receivables carried at amortised cost is calculated by discounting the present value of estimated future cash flows of the asset to their present value, discounted at the original effective interest rate. Receivables with a short duration of less than six months are not discounted.</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Impairment losses in respect of receivables carried at amortised cost are reversed if subsequent increases in the recoverable amount of the asset can be related objectively to an event occurring after the impairment loss was recognised.</w:t>
      </w:r>
    </w:p>
    <w:p>
      <w:pPr>
        <w:spacing w:after="0" w:line="206"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Impairment losses in respect of other assets, other than goodwill, are reversed if there has been a change in the estimates used to determine recoverable amount. Impairment losses are reversed only to the extent that the carrying amount of the asset does not exceed the carrying value that would have been determined, net of depreciation or amortisation, if no impairment loss had been recognised. Impairment losses in respect of goodwill are not reversed.</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8" w:name="page39"/>
    <w:bookmarkEnd w:id="38"/>
    <w:p>
      <w:pPr>
        <w:spacing w:after="0"/>
        <w:rPr>
          <w:sz w:val="20"/>
          <w:szCs w:val="20"/>
          <w:color w:val="auto"/>
        </w:rPr>
      </w:pPr>
      <w:r>
        <w:rPr>
          <w:rFonts w:ascii="Arial" w:cs="Arial" w:eastAsia="Arial" w:hAnsi="Arial"/>
          <w:sz w:val="21"/>
          <w:szCs w:val="21"/>
          <w:color w:val="auto"/>
        </w:rPr>
        <w:t xml:space="preserve">Statement of Accounting Policies </w:t>
      </w:r>
      <w:r>
        <w:rPr>
          <w:rFonts w:ascii="Arial" w:cs="Arial" w:eastAsia="Arial" w:hAnsi="Arial"/>
          <w:sz w:val="21"/>
          <w:szCs w:val="21"/>
          <w:i w:val="1"/>
          <w:iCs w:val="1"/>
          <w:color w:val="auto"/>
        </w:rPr>
        <w:t>(continued)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intangible assets are stated at cost less accumulated amortisation and impairment losses. Useful lives of intangibles are reviewed and adjusted if appropriate at each reporting date. Amortisation is charged to the income statement on a straight line basis over the estimated useful lives of intangible assets, currently estimated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7220" w:type="dxa"/>
            <w:vAlign w:val="bottom"/>
          </w:tcPr>
          <w:p>
            <w:pPr>
              <w:jc w:val="right"/>
              <w:ind w:right="5612"/>
              <w:spacing w:after="0"/>
              <w:rPr>
                <w:sz w:val="20"/>
                <w:szCs w:val="20"/>
                <w:color w:val="auto"/>
              </w:rPr>
            </w:pPr>
            <w:r>
              <w:rPr>
                <w:rFonts w:ascii="Arial" w:cs="Arial" w:eastAsia="Arial" w:hAnsi="Arial"/>
                <w:sz w:val="18"/>
                <w:szCs w:val="18"/>
                <w:b w:val="1"/>
                <w:bCs w:val="1"/>
                <w:color w:val="auto"/>
              </w:rPr>
              <w:t>Years</w:t>
            </w:r>
          </w:p>
        </w:tc>
      </w:tr>
      <w:tr>
        <w:trPr>
          <w:trHeight w:val="213"/>
        </w:trPr>
        <w:tc>
          <w:tcPr>
            <w:tcW w:w="42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Computer software</w:t>
            </w:r>
          </w:p>
        </w:tc>
        <w:tc>
          <w:tcPr>
            <w:tcW w:w="7220" w:type="dxa"/>
            <w:vAlign w:val="bottom"/>
            <w:shd w:val="clear" w:color="auto" w:fill="CCEEFF"/>
          </w:tcPr>
          <w:p>
            <w:pPr>
              <w:jc w:val="right"/>
              <w:ind w:right="5612"/>
              <w:spacing w:after="0"/>
              <w:rPr>
                <w:sz w:val="20"/>
                <w:szCs w:val="20"/>
                <w:color w:val="auto"/>
              </w:rPr>
            </w:pPr>
            <w:r>
              <w:rPr>
                <w:rFonts w:ascii="Arial" w:cs="Arial" w:eastAsia="Arial" w:hAnsi="Arial"/>
                <w:sz w:val="18"/>
                <w:szCs w:val="18"/>
                <w:color w:val="auto"/>
              </w:rPr>
              <w:t>2-8</w:t>
            </w:r>
          </w:p>
        </w:tc>
      </w:tr>
      <w:tr>
        <w:trPr>
          <w:trHeight w:val="212"/>
        </w:trPr>
        <w:tc>
          <w:tcPr>
            <w:tcW w:w="4200" w:type="dxa"/>
            <w:vAlign w:val="bottom"/>
          </w:tcPr>
          <w:p>
            <w:pPr>
              <w:ind w:left="1160"/>
              <w:spacing w:after="0"/>
              <w:rPr>
                <w:sz w:val="20"/>
                <w:szCs w:val="20"/>
                <w:color w:val="auto"/>
              </w:rPr>
            </w:pPr>
            <w:r>
              <w:rPr>
                <w:rFonts w:ascii="Arial" w:cs="Arial" w:eastAsia="Arial" w:hAnsi="Arial"/>
                <w:sz w:val="18"/>
                <w:szCs w:val="18"/>
                <w:color w:val="auto"/>
              </w:rPr>
              <w:t>Customer relationships</w:t>
            </w:r>
          </w:p>
        </w:tc>
        <w:tc>
          <w:tcPr>
            <w:tcW w:w="7220" w:type="dxa"/>
            <w:vAlign w:val="bottom"/>
          </w:tcPr>
          <w:p>
            <w:pPr>
              <w:jc w:val="right"/>
              <w:ind w:right="5612"/>
              <w:spacing w:after="0"/>
              <w:rPr>
                <w:sz w:val="20"/>
                <w:szCs w:val="20"/>
                <w:color w:val="auto"/>
              </w:rPr>
            </w:pPr>
            <w:r>
              <w:rPr>
                <w:rFonts w:ascii="Arial" w:cs="Arial" w:eastAsia="Arial" w:hAnsi="Arial"/>
                <w:sz w:val="18"/>
                <w:szCs w:val="18"/>
                <w:color w:val="auto"/>
              </w:rPr>
              <w:t>3-11</w:t>
            </w:r>
          </w:p>
        </w:tc>
      </w:tr>
      <w:tr>
        <w:trPr>
          <w:trHeight w:val="212"/>
        </w:trPr>
        <w:tc>
          <w:tcPr>
            <w:tcW w:w="42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Volunteer list</w:t>
            </w:r>
          </w:p>
        </w:tc>
        <w:tc>
          <w:tcPr>
            <w:tcW w:w="7220" w:type="dxa"/>
            <w:vAlign w:val="bottom"/>
            <w:shd w:val="clear" w:color="auto" w:fill="CCEEFF"/>
          </w:tcPr>
          <w:p>
            <w:pPr>
              <w:jc w:val="right"/>
              <w:ind w:right="5612"/>
              <w:spacing w:after="0"/>
              <w:rPr>
                <w:sz w:val="20"/>
                <w:szCs w:val="20"/>
                <w:color w:val="auto"/>
              </w:rPr>
            </w:pPr>
            <w:r>
              <w:rPr>
                <w:rFonts w:ascii="Arial" w:cs="Arial" w:eastAsia="Arial" w:hAnsi="Arial"/>
                <w:sz w:val="18"/>
                <w:szCs w:val="18"/>
                <w:color w:val="auto"/>
              </w:rPr>
              <w:t>6</w:t>
            </w:r>
          </w:p>
        </w:tc>
      </w:tr>
      <w:tr>
        <w:trPr>
          <w:trHeight w:val="212"/>
        </w:trPr>
        <w:tc>
          <w:tcPr>
            <w:tcW w:w="4200" w:type="dxa"/>
            <w:vAlign w:val="bottom"/>
          </w:tcPr>
          <w:p>
            <w:pPr>
              <w:ind w:left="1160"/>
              <w:spacing w:after="0"/>
              <w:rPr>
                <w:sz w:val="20"/>
                <w:szCs w:val="20"/>
                <w:color w:val="auto"/>
              </w:rPr>
            </w:pPr>
            <w:r>
              <w:rPr>
                <w:rFonts w:ascii="Arial" w:cs="Arial" w:eastAsia="Arial" w:hAnsi="Arial"/>
                <w:sz w:val="18"/>
                <w:szCs w:val="18"/>
                <w:color w:val="auto"/>
              </w:rPr>
              <w:t>Order backlog</w:t>
            </w:r>
          </w:p>
        </w:tc>
        <w:tc>
          <w:tcPr>
            <w:tcW w:w="7220" w:type="dxa"/>
            <w:vAlign w:val="bottom"/>
          </w:tcPr>
          <w:p>
            <w:pPr>
              <w:jc w:val="right"/>
              <w:ind w:right="5612"/>
              <w:spacing w:after="0"/>
              <w:rPr>
                <w:sz w:val="20"/>
                <w:szCs w:val="20"/>
                <w:color w:val="auto"/>
              </w:rPr>
            </w:pPr>
            <w:r>
              <w:rPr>
                <w:rFonts w:ascii="Arial" w:cs="Arial" w:eastAsia="Arial" w:hAnsi="Arial"/>
                <w:sz w:val="18"/>
                <w:szCs w:val="18"/>
                <w:color w:val="auto"/>
              </w:rPr>
              <w:t>0.8-4</w:t>
            </w:r>
          </w:p>
        </w:tc>
      </w:tr>
      <w:tr>
        <w:trPr>
          <w:trHeight w:val="212"/>
        </w:trPr>
        <w:tc>
          <w:tcPr>
            <w:tcW w:w="42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Technology Asset</w:t>
            </w:r>
          </w:p>
        </w:tc>
        <w:tc>
          <w:tcPr>
            <w:tcW w:w="7220" w:type="dxa"/>
            <w:vAlign w:val="bottom"/>
            <w:shd w:val="clear" w:color="auto" w:fill="CCEEFF"/>
          </w:tcPr>
          <w:p>
            <w:pPr>
              <w:jc w:val="right"/>
              <w:ind w:right="5612"/>
              <w:spacing w:after="0"/>
              <w:rPr>
                <w:sz w:val="20"/>
                <w:szCs w:val="20"/>
                <w:color w:val="auto"/>
              </w:rPr>
            </w:pPr>
            <w:r>
              <w:rPr>
                <w:rFonts w:ascii="Arial" w:cs="Arial" w:eastAsia="Arial" w:hAnsi="Arial"/>
                <w:sz w:val="18"/>
                <w:szCs w:val="18"/>
                <w:color w:val="auto"/>
              </w:rPr>
              <w:t>7.5</w:t>
            </w:r>
          </w:p>
        </w:tc>
      </w:tr>
      <w:tr>
        <w:trPr>
          <w:trHeight w:val="212"/>
        </w:trPr>
        <w:tc>
          <w:tcPr>
            <w:tcW w:w="4200" w:type="dxa"/>
            <w:vAlign w:val="bottom"/>
          </w:tcPr>
          <w:p>
            <w:pPr>
              <w:ind w:left="1160"/>
              <w:spacing w:after="0"/>
              <w:rPr>
                <w:sz w:val="20"/>
                <w:szCs w:val="20"/>
                <w:color w:val="auto"/>
              </w:rPr>
            </w:pPr>
            <w:r>
              <w:rPr>
                <w:rFonts w:ascii="Arial" w:cs="Arial" w:eastAsia="Arial" w:hAnsi="Arial"/>
                <w:sz w:val="18"/>
                <w:szCs w:val="18"/>
                <w:color w:val="auto"/>
              </w:rPr>
              <w:t>Tradename</w:t>
            </w:r>
          </w:p>
        </w:tc>
        <w:tc>
          <w:tcPr>
            <w:tcW w:w="7220" w:type="dxa"/>
            <w:vAlign w:val="bottom"/>
          </w:tcPr>
          <w:p>
            <w:pPr>
              <w:jc w:val="right"/>
              <w:ind w:right="5612"/>
              <w:spacing w:after="0"/>
              <w:rPr>
                <w:sz w:val="20"/>
                <w:szCs w:val="20"/>
                <w:color w:val="auto"/>
              </w:rPr>
            </w:pPr>
            <w:r>
              <w:rPr>
                <w:rFonts w:ascii="Arial" w:cs="Arial" w:eastAsia="Arial" w:hAnsi="Arial"/>
                <w:sz w:val="18"/>
                <w:szCs w:val="18"/>
                <w:color w:val="auto"/>
              </w:rPr>
              <w:t>4.5-5</w:t>
            </w:r>
          </w:p>
        </w:tc>
      </w:tr>
      <w:tr>
        <w:trPr>
          <w:trHeight w:val="212"/>
        </w:trPr>
        <w:tc>
          <w:tcPr>
            <w:tcW w:w="42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Non-compete arrangements</w:t>
            </w:r>
          </w:p>
        </w:tc>
        <w:tc>
          <w:tcPr>
            <w:tcW w:w="7220" w:type="dxa"/>
            <w:vAlign w:val="bottom"/>
            <w:shd w:val="clear" w:color="auto" w:fill="CCEEFF"/>
          </w:tcPr>
          <w:p>
            <w:pPr>
              <w:jc w:val="right"/>
              <w:ind w:right="5612"/>
              <w:spacing w:after="0"/>
              <w:rPr>
                <w:sz w:val="20"/>
                <w:szCs w:val="20"/>
                <w:color w:val="auto"/>
              </w:rPr>
            </w:pPr>
            <w:r>
              <w:rPr>
                <w:rFonts w:ascii="Arial" w:cs="Arial" w:eastAsia="Arial" w:hAnsi="Arial"/>
                <w:sz w:val="18"/>
                <w:szCs w:val="18"/>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-942340</wp:posOffset>
            </wp:positionV>
            <wp:extent cx="3620135" cy="134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20135" cy="13462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-673100</wp:posOffset>
            </wp:positionV>
            <wp:extent cx="3620135" cy="134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20135" cy="13462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-403225</wp:posOffset>
            </wp:positionV>
            <wp:extent cx="3620135" cy="134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20135"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-942340</wp:posOffset>
            </wp:positionV>
            <wp:extent cx="732790" cy="9429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790" cy="94297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-133985</wp:posOffset>
            </wp:positionV>
            <wp:extent cx="3620135" cy="134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20135" cy="13462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Inventories, which comprise laboratory inventories, are stated at the lower of cost and net realisable value. Cost is based on the first-in, first-out principle and includes all expenditure incurred in acquiring the inventories and bringing them to their present location and condition. Cost in the case of raw materials comprises the purchase price and attributable costs, less trade discounts. Net realisable value is the estimated selling price in the ordinary course of business, less selling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and other receivables</w:t>
      </w: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Trade and other receivables are initially measured at fair value and are thereafter measured at amortised cost using the effective interest rate method less any provision for impairment. A provision for impairment of trade receivables is recognised when there is objective evidence that the Group will not be able to collect all amounts due according to the original terms of the receivables. Impairment losses, and any subsequent recovery of such losses, are recognised in the income statement within ‘other operating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 investments – available for sale</w:t>
      </w:r>
    </w:p>
    <w:p>
      <w:pPr>
        <w:spacing w:after="0" w:line="250"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Financial instruments held are classified as current assets and are stated at fair value, with any resultant gain or loss recognised as other comprehensive income in the statement of comprehensive income. The fair value of financial instruments classified as available-for-sale is their market price at the reporting date.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0"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Cash and cash equivalents include cash and highly liquid investments with initial maturities of three months or less and are stated at cost, which approximates market value.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payables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recognised initially at fair value and subsequently measured at amortised cost using the effective interest rate method.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9" w:name="page40"/>
    <w:bookmarkEnd w:id="39"/>
    <w:p>
      <w:pPr>
        <w:spacing w:after="0"/>
        <w:rPr>
          <w:sz w:val="20"/>
          <w:szCs w:val="20"/>
          <w:color w:val="auto"/>
        </w:rPr>
      </w:pPr>
      <w:r>
        <w:rPr>
          <w:rFonts w:ascii="Arial" w:cs="Arial" w:eastAsia="Arial" w:hAnsi="Arial"/>
          <w:sz w:val="21"/>
          <w:szCs w:val="21"/>
          <w:color w:val="auto"/>
        </w:rPr>
        <w:t xml:space="preserve">Statement of Accounting Policies </w:t>
      </w:r>
      <w:r>
        <w:rPr>
          <w:rFonts w:ascii="Arial" w:cs="Arial" w:eastAsia="Arial" w:hAnsi="Arial"/>
          <w:sz w:val="21"/>
          <w:szCs w:val="21"/>
          <w:i w:val="1"/>
          <w:iCs w:val="1"/>
          <w:color w:val="auto"/>
        </w:rPr>
        <w:t>(continued)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grants</w:t>
      </w: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Government grants received that compensate the Group for the cost of an asset are recognised in the statement of financial position initially as deferred income when there is reasonable assurance that it will be received and that the Group will comply with the conditions attaching to it. Such grants are recognised in the income statement over the useful economic life of the asset which is consistent with the depreciation policy of the relevant asset.</w:t>
      </w:r>
    </w:p>
    <w:p>
      <w:pPr>
        <w:spacing w:after="0" w:line="198"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Grants that compensate the Group for expenses incurred are recognised in the income statement in the same periods in which the expenditure to which they relate is charged.</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 The Group has not recognised any such loss contingency having assessed as remote the likelihood of these events arising.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bearing loans and borrowings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bearing borrowings are recognised initially at fair value. Subsequent to initial recognition, current and non-current interest bearing loans and borrowings are measured at amortised cost with any difference between cost and redemption value being recognised in the income statement over the period of the borrowings on an effective interest basis.</w:t>
      </w:r>
    </w:p>
    <w:p>
      <w:pPr>
        <w:spacing w:after="0" w:line="215" w:lineRule="exact"/>
        <w:rPr>
          <w:sz w:val="20"/>
          <w:szCs w:val="20"/>
          <w:color w:val="auto"/>
        </w:rPr>
      </w:pPr>
    </w:p>
    <w:p>
      <w:pPr>
        <w:ind w:right="440"/>
        <w:spacing w:after="0" w:line="265" w:lineRule="auto"/>
        <w:rPr>
          <w:sz w:val="20"/>
          <w:szCs w:val="20"/>
          <w:color w:val="auto"/>
        </w:rPr>
      </w:pPr>
      <w:r>
        <w:rPr>
          <w:rFonts w:ascii="Arial" w:cs="Arial" w:eastAsia="Arial" w:hAnsi="Arial"/>
          <w:sz w:val="18"/>
          <w:szCs w:val="18"/>
          <w:color w:val="auto"/>
        </w:rPr>
        <w:t>Borrowings are classified as current liabilities unless the Group has an unconditional right to defer settlement of the liability for at least 12 months after the reporting date.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provision is recognised in the statement of financial position when the Group has a present or legal or constructive obligation as a result of a past event, and it is probable that an outflow of economic benefits will be required to settle the obligation. If the effect of the time value of money is material, provisions are determined by discounting the expected future cash flows at a pre-tax rate that reflects the time value of money and, where appropriate, the risks specific to the liability. Where discounting is used, the increase in the provision due to the passage of time is recognised as a finance cost.</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 provision for restructuring is recognised when the Group has approved a detailed and formal restructuring plan, and the restructuring has either commenced or has been announced publicly. Future operating costs are not provided for.</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 provision for onerous contracts is recognised when the expected benefits to be derived by the Group from a contract are lower than the unavoidable cost of meeting its obligations under the contract.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Provisions may also include an element of contingent acquisition consideration.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50"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color w:val="auto"/>
        </w:rPr>
        <w:t>Ordinary shares are classified as equity. Incremental costs directly attributable to the issue of new shares or options are shown in equity as a deduction, net of tax, from the proceeds.</w:t>
      </w:r>
    </w:p>
    <w:p>
      <w:pPr>
        <w:spacing w:after="0" w:line="206"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Where ordinary shares are repurchased by the Company they are cancelled and the nominal value of the shares is transferred to a capital redemption reserve fund within equity.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0" w:name="page41"/>
    <w:bookmarkEnd w:id="40"/>
    <w:p>
      <w:pPr>
        <w:spacing w:after="0"/>
        <w:rPr>
          <w:sz w:val="20"/>
          <w:szCs w:val="20"/>
          <w:color w:val="auto"/>
        </w:rPr>
      </w:pPr>
      <w:r>
        <w:rPr>
          <w:rFonts w:ascii="Arial" w:cs="Arial" w:eastAsia="Arial" w:hAnsi="Arial"/>
          <w:sz w:val="21"/>
          <w:szCs w:val="21"/>
          <w:color w:val="auto"/>
        </w:rPr>
        <w:t xml:space="preserve">Statement of Accounting Policies </w:t>
      </w:r>
      <w:r>
        <w:rPr>
          <w:rFonts w:ascii="Arial" w:cs="Arial" w:eastAsia="Arial" w:hAnsi="Arial"/>
          <w:sz w:val="21"/>
          <w:szCs w:val="21"/>
          <w:i w:val="1"/>
          <w:iCs w:val="1"/>
          <w:color w:val="auto"/>
        </w:rPr>
        <w:t>(continued)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Pension and other post-employment benefits</w:t>
      </w:r>
    </w:p>
    <w:p>
      <w:pPr>
        <w:spacing w:after="0" w:line="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Certain companies within the Group operate defined contribution pension plans. A defined contribution plan is a pension plan under which the Group pays fixed contributions into a separate entity. The Group has no legal or constructive obligations to pay further contributions if the fund does not hold sufficient assets to pay all employees the benefits relating to employee service in the current and prior periods. Contributions to defined contribution pension plans are expensed as incurred.</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operates a defined benefit pension plan for certain of its United Kingdom employees through a subsidiary. A defined benefit plan is a pension plan that is not a defined contribution plan. Typically defined benefit plans define the amount of pension benefit that an employee will receive on retirement, usually dependent on one or more factors such as age, years of service and compensation. Obligations for contributions to defined benefit contribution pension plans are recognised as an expense in the income statement as service is received from the relevant employees.</w:t>
      </w:r>
    </w:p>
    <w:p>
      <w:pPr>
        <w:spacing w:after="0" w:line="204"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Group’s net obligation in respect of the defined benefit pension plan is calculated separately by estimating the amount of future benefit that employees have earned in return for their service in the current and prior periods; that benefit is discounted to determine its present value, and the fair value of plan assets deducted. The discount rate used is the yield at the reporting date on iboxx AA 15 index plus 50 basis points. The calculation is performed by a qualified actuary using the projected unit credit method. Returns on the scheme assets are recorded in the finance income line in the income statement while interest on the scheme liabilities are recorded in the financing expense line. When benefits of a plan are improved, the portion of the increased benefit relating to the past service by employees is recognised as an expense in the Income Statement on a straight line basis over the average period until the benefits become vested. To the extent that the benefits vest immediately, the expense is recognised immediately in the income statement.</w:t>
      </w:r>
    </w:p>
    <w:p>
      <w:pPr>
        <w:spacing w:after="0" w:line="17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All actuarial gains and losses as at 1 June 2004, the date of transition to IFRSs, were recognised and adjusted against retained earnings. Actuarial gains and losses arising after this date are recognised as other comprehensive income immediately in the Statement of 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Share-based payments</w:t>
      </w:r>
    </w:p>
    <w:p>
      <w:pPr>
        <w:spacing w:after="0" w:line="16"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Share-based payments comprise options to acquire ordinary shares in the Company and restricted share units (RSUs) in the form of ordinary share entitlements after a certain period of time. These are awarded to the certain key employees of the Group based on service conditions such as term of employment and individual performance. The fair value of options and RSUs granted is recognised as an employee expense with a corresponding increase in equity. The fair value is measured at grant date and spread over the period during which the Directors and other employees become unconditionally entitled to the options or RSU. The fair value of options granted is measured using a binomial lattice model, taking into account the terms and conditions upon which the options were granted. The fair value of RSU’s is equal to the market price at date of grant. The total amount to be expensed is determined by reference to the fair value of the options or RSUs granted, excluding the impact of any non-market service and performance vesting conditions (for example profitability, sales growth targets). Non-market vesting conditions are included in assumptions about the number of options or RSU’s that are expected to vest. The amount recognised as an expense is adjusted to reflect the actual number of share options or RSU’s that vest.</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 - Company</w:t>
      </w:r>
    </w:p>
    <w:p>
      <w:pPr>
        <w:spacing w:after="0" w:line="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operates a number of share-based payment plans the details of which are presented in note 10 Share-Based Compensation to the Consolidated Financial Statements. The share-based payment expense associated with the share-based payment plans is recognised by the entity which receives services in exchange for the share-based compensation. Share-based payment expense is recognised over the requisite service period for awards of equity instruments to employees based on the grant date fair value of those awards expected to ultimately vest. Forfeitures are estimated on the date of grant and revised if actual or expected forfeiture activity differs materially from original estimates.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1" w:name="page42"/>
    <w:bookmarkEnd w:id="41"/>
    <w:p>
      <w:pPr>
        <w:spacing w:after="0"/>
        <w:rPr>
          <w:sz w:val="20"/>
          <w:szCs w:val="20"/>
          <w:color w:val="auto"/>
        </w:rPr>
      </w:pPr>
      <w:r>
        <w:rPr>
          <w:rFonts w:ascii="Arial" w:cs="Arial" w:eastAsia="Arial" w:hAnsi="Arial"/>
          <w:sz w:val="21"/>
          <w:szCs w:val="21"/>
          <w:color w:val="auto"/>
        </w:rPr>
        <w:t xml:space="preserve">Statement of Accounting Policies </w:t>
      </w:r>
      <w:r>
        <w:rPr>
          <w:rFonts w:ascii="Arial" w:cs="Arial" w:eastAsia="Arial" w:hAnsi="Arial"/>
          <w:sz w:val="21"/>
          <w:szCs w:val="21"/>
          <w:i w:val="1"/>
          <w:iCs w:val="1"/>
          <w:color w:val="auto"/>
        </w:rPr>
        <w:t>(continued)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 – Company (continued)</w:t>
      </w:r>
    </w:p>
    <w:p>
      <w:pPr>
        <w:spacing w:after="0" w:line="24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income statement of the Company is charged with the expense related to the services received by the Company. The remaining portions of the share-based payments represent a contribution to Company entities and are added to the carrying amount of those investments. Under an agreement, the subsidiaries pay the Company an amount equal to the value of the ordinary shares issued that is in excess of the award exercise price with such amount reducing the Company's investment in its subsidiaries. The net effect of the grant date fair value of the Company’s share-based compensation to employees of the Company’s subsidiaries and recharges received from those subsidiaries is presented as a movement in financial fixed assets. For more information on financial fixed assets see note 3, Investment in subsidiaries, in the company only financial statements below.</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2" w:name="page43"/>
    <w:bookmarkEnd w:id="42"/>
    <w:p>
      <w:pPr>
        <w:spacing w:after="0"/>
        <w:rPr>
          <w:sz w:val="20"/>
          <w:szCs w:val="20"/>
          <w:color w:val="auto"/>
        </w:rPr>
      </w:pPr>
      <w:r>
        <w:rPr>
          <w:rFonts w:ascii="Arial" w:cs="Arial" w:eastAsia="Arial" w:hAnsi="Arial"/>
          <w:sz w:val="21"/>
          <w:szCs w:val="21"/>
          <w:color w:val="auto"/>
        </w:rPr>
        <w:t xml:space="preserve">Statement of Accounting Policies </w:t>
      </w:r>
      <w:r>
        <w:rPr>
          <w:rFonts w:ascii="Arial" w:cs="Arial" w:eastAsia="Arial" w:hAnsi="Arial"/>
          <w:sz w:val="21"/>
          <w:szCs w:val="21"/>
          <w:i w:val="1"/>
          <w:iCs w:val="1"/>
          <w:color w:val="auto"/>
        </w:rPr>
        <w:t>(continued)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Group primarily earns revenues by providing clinical research services to its customers. Clinical research services include clinical trials management, biometric activities, consulting, imaging, contract staffing, informatics and laboratory services. Contracts range in duration from a number of months to several years. Revenue is recognised according to the type of service provided as follows:</w:t>
      </w:r>
    </w:p>
    <w:p>
      <w:pPr>
        <w:spacing w:after="0" w:line="21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Clinical trials management revenue is recognised on a proportional performance method. Depending on the contractual terms, revenue is either recognised on the percentage of completion method, based on the relationship between hours incurred and the total estimated hours of the trial, or on the unit of delivery method. Biometrics revenue is recognised on a fee-for-service method on the basis of the number of units completed in a period as a percentage of the total number of contracted units. Imaging revenue is recognised on a fee-for- service basis. Consulting revenue is recognised on a fee-for-service basis as the related service is performed.Contract staffing revenue is recognised on a fee-for-service basis, over the time the related service is performed, or in the case of permanent placement, once the candidate has been placed with the client.</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Informatics revenue is recognised on a fee-for-service basis. Informatics contracts are treated as multiple element arrangements, with contractual elements comprising licence fee revenue, support fee revenue and revenue from software services, each of which can be sold separately. Sales prices for contractual elements are determined by reference to objective and reliable evidence of their sales price. Licence and support fee revenues are recognised rateably over the period of the related agreement. Revenue from software services is recognised using the percentage of completion method based on the relationship between hours incurred and the total estimated hours required to perform the service.</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Laboratory service revenue is recognised on a fee-for-service basis. The Group accounts for laboratory service contracts as multiple element arrangements, with contractual elements comprising laboratory kits and laboratory testing, each of which can be sold separately. Fair values for contractual elements are determined by reference to objective and reliable evidence of their fair values. Non-refundable set-up fees are allocated as additional consideration to the contractual elements based on the proportionate fair values of each of these elements. Revenues for contractual elements are recognised on the basis of the number of deliverable units completed in the period.</w:t>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Contracts generally contain provisions for renegotiation in the event of changes in the scope, nature, duration, volume of services or conditions of the contract. Renegotiated amounts are recognised as revenue by revision to the total contract value arising as a result of an authorised customer change order. Provisions for losses to be incurred on contracts are recognised in full in the period in which it is determined that a loss will result from performance of the contractual arrangement.</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difference between the amount of revenue recognised and the amount billed on a particular contract is included in the statement of financial position as unbilled revenue. Normally, amounts become billable upon the achievement of certain milestones, in accordance with pre-agreed payment schedules included in the contract or on submission of appropriate billing detail. Such cash payments are not representative of revenue earned on the contract as revenues are recognised over the period in which the specified contractual obligations are fulfilled. Amounts included in unbilled revenue are expected to be collected within one year and are included within current assets. Advance billings to customers, for which revenue has not been recognised, are recognised as payments on account within current liabilities.</w:t>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the event of contract termination, if the value of work performed and recognised as revenue is greater than aggregate milestone billings at the date of termination, cancellation clauses provide that the Group is paid for all work performed to the termination date.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3" w:name="page44"/>
    <w:bookmarkEnd w:id="43"/>
    <w:p>
      <w:pPr>
        <w:spacing w:after="0"/>
        <w:rPr>
          <w:sz w:val="20"/>
          <w:szCs w:val="20"/>
          <w:color w:val="auto"/>
        </w:rPr>
      </w:pPr>
      <w:r>
        <w:rPr>
          <w:rFonts w:ascii="Arial" w:cs="Arial" w:eastAsia="Arial" w:hAnsi="Arial"/>
          <w:sz w:val="21"/>
          <w:szCs w:val="21"/>
          <w:color w:val="auto"/>
        </w:rPr>
        <w:t xml:space="preserve">Statement of Accounting Policies </w:t>
      </w:r>
      <w:r>
        <w:rPr>
          <w:rFonts w:ascii="Arial" w:cs="Arial" w:eastAsia="Arial" w:hAnsi="Arial"/>
          <w:sz w:val="21"/>
          <w:szCs w:val="21"/>
          <w:i w:val="1"/>
          <w:iCs w:val="1"/>
          <w:color w:val="auto"/>
        </w:rPr>
        <w:t>(continued)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Reimbursable expenses comprise investigator payments and certain other costs which are reimbursed by clients under terms specific to each contract and are deducted from gross revenue in arriving at net revenue. Investigator payments are accrued based on patient enrolment over the life of the contract. Investigator payments are made based on predetermined contractual arrangements, which may differ from the accrual of the expense.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Direct costs consist of compensation, associated employee benefits and share-based payments for project-related employees and other direct project-related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250"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Other operating expenses consist of compensation, associated employee benefits and share-based payments for non-project-related employees and other indirect costs associated with the business. Other operating expenses also includes depreciation expense and the amortisation of intangible assets.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Exceptional items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used the term “exceptional” to describe certain items which, in management’s view, warrant separate disclosure by virtue of their size or incidence, or due to the fact that certain gains or losses are determined to be non-recurring in nature. Exceptional items may include restructuring, significant impairments, and material changes in estimates.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credits</w:t>
      </w: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Research and development credits that are provided under the income tax law of the jurisdictions in which the Group operates generally are recognised as a reduction of income tax expense. However, certain tax jurisdictions provide refundable credits that are not dependent on the Group’s ongoing tax status or tax position. In these circumstances the credits are recognised in the income statement in the same periods in which the expenditure to which they related to is charged as a deduction against the related expense.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expense</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Financing expense comprises interest payable on borrowings calculated using the effective interest rate method, finance charges on finance leases, foreign exchange gains and losses on bank loans, interest costs on defined benefit obligations, non-cash finances charge in respect of contingent consideration and gains and losses on hedging instruments that are recognised in the income statement.</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Financing expense also includes fees paid on the establishment of loan facilities which are recognised as transaction costs of the loan to the extent that it is probable that some or all of the facility will be drawn down. These fees are deferred and recognised in the Statement of Financial Position and are then amortised to the Consolidated Income Statement over the term the facility is available to the Group.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income</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Interest income is recognised in the income statement as it accrues, using the effective interest rate method and includes interest receivable on funds invested and actuarial gains on pension plan assets.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4" w:name="page45"/>
    <w:bookmarkEnd w:id="44"/>
    <w:p>
      <w:pPr>
        <w:spacing w:after="0"/>
        <w:rPr>
          <w:sz w:val="20"/>
          <w:szCs w:val="20"/>
          <w:color w:val="auto"/>
        </w:rPr>
      </w:pPr>
      <w:r>
        <w:rPr>
          <w:rFonts w:ascii="Arial" w:cs="Arial" w:eastAsia="Arial" w:hAnsi="Arial"/>
          <w:sz w:val="21"/>
          <w:szCs w:val="21"/>
          <w:color w:val="auto"/>
        </w:rPr>
        <w:t xml:space="preserve">Statement of Accounting Policies </w:t>
      </w:r>
      <w:r>
        <w:rPr>
          <w:rFonts w:ascii="Arial" w:cs="Arial" w:eastAsia="Arial" w:hAnsi="Arial"/>
          <w:sz w:val="21"/>
          <w:szCs w:val="21"/>
          <w:i w:val="1"/>
          <w:iCs w:val="1"/>
          <w:color w:val="auto"/>
        </w:rPr>
        <w:t>(continued)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in the income statement represents the sum of income tax currently payable and deferred income tax.</w:t>
      </w:r>
    </w:p>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Income tax currently payable is based on taxable profit for the year. Taxable profit differs from net profit as reported in the income statement because it excludes items of income or expense that are taxable or deductible in other years and further excludes items that are not taxable or deductible. The Group’s liability for income tax is calculated using rates that have been enacted or substantially enacted at the reporting date. Income tax is recognised in the income statement except to the extent that it relates to items recognised directly in equity.</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Deferred income tax assets and liabilities are measured at the tax rates that are expected to apply in the year when the asset is expected to be realised or the liability to be settled.</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Deferred tax assets are recognised for all deductible differences, carry forward of unused tax credits and unused tax losses, to the extent that it is probable that taxable profit will be available against which the deductible temporary differences and the carry forward of unused tax credits and unused tax losses can be utilised. The carrying amount of deferred income tax assets is reviewed at each reporting date and reduced to the extent that it is no longer probable that sufficient taxable profit would be available to allow all or part of the deferred income tax asset to be utilised.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ordinary share</w:t>
      </w:r>
    </w:p>
    <w:p>
      <w:pPr>
        <w:spacing w:after="0" w:line="250"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Basic earnings per share is computed by dividing the profit for the financial year attributable to ordinary shareholders of the Company by the weighted average number of ordinary shares outstanding during the financial period.</w:t>
      </w:r>
    </w:p>
    <w:p>
      <w:pPr>
        <w:spacing w:after="0" w:line="206"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Diluted earnings per share is computed by dividing the profit for the financial year attributable to ordinary shareholders of the Company by the weighted average number of ordinary shares in issue after adjusting for the effects of all potential dilutive ordinary shares that were outstanding during the financial period.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 operating segment is a component of the Group that engages in business activities from which it may earn revenues and incur expenses, including revenues and expenses that relate to transactions with any of the Group’s other components. The Group determines and presents operating segments based on the information that internally is provided to the Chief Executive Officer (CEO) and Chief Financial Officer (CFO), who together are considered the Group’s chief operating decision maker. An operating segment’s operating results are reviewed regularly by the CEO and CFO to make decisions about resources to be allocated to the segment and assess its performance, and for which discrete financial information is available.</w:t>
      </w:r>
    </w:p>
    <w:p>
      <w:pPr>
        <w:spacing w:after="0" w:line="204"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Segment results that are reported to the CEO and CFO include items directly attributable to a segment as well as those that can be allocated on a reasonable basis. Segment capital expenditure is the total cost incurred during the period to acquire property, plant and equipment and intangible assets other than goodwill.</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3"/>
        </w:trPr>
        <w:tc>
          <w:tcPr>
            <w:tcW w:w="2320" w:type="dxa"/>
            <w:vAlign w:val="bottom"/>
            <w:gridSpan w:val="2"/>
          </w:tcPr>
          <w:p>
            <w:pPr>
              <w:spacing w:after="0"/>
              <w:rPr>
                <w:sz w:val="20"/>
                <w:szCs w:val="20"/>
                <w:color w:val="auto"/>
              </w:rPr>
            </w:pPr>
            <w:r>
              <w:rPr>
                <w:rFonts w:ascii="Arial" w:cs="Arial" w:eastAsia="Arial" w:hAnsi="Arial"/>
                <w:sz w:val="18"/>
                <w:szCs w:val="18"/>
                <w:color w:val="auto"/>
                <w:w w:val="89"/>
              </w:rPr>
              <w:t>Consolidated Income Statement</w:t>
            </w:r>
          </w:p>
        </w:tc>
        <w:tc>
          <w:tcPr>
            <w:tcW w:w="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Year ended</w:t>
            </w:r>
          </w:p>
        </w:tc>
        <w:tc>
          <w:tcPr>
            <w:tcW w:w="12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Year ended</w:t>
            </w:r>
          </w:p>
        </w:tc>
        <w:tc>
          <w:tcPr>
            <w:tcW w:w="1400" w:type="dxa"/>
            <w:vAlign w:val="bottom"/>
            <w:tcBorders>
              <w:bottom w:val="single" w:sz="8" w:color="auto"/>
            </w:tcBorders>
          </w:tcPr>
          <w:p>
            <w:pPr>
              <w:spacing w:after="0"/>
              <w:rPr>
                <w:sz w:val="24"/>
                <w:szCs w:val="24"/>
                <w:color w:val="auto"/>
              </w:rPr>
            </w:pPr>
          </w:p>
        </w:tc>
        <w:tc>
          <w:tcPr>
            <w:tcW w:w="1440" w:type="dxa"/>
            <w:vAlign w:val="bottom"/>
            <w:vMerge w:val="restart"/>
          </w:tcPr>
          <w:p>
            <w:pPr>
              <w:jc w:val="right"/>
              <w:ind w:right="132"/>
              <w:spacing w:after="0"/>
              <w:rPr>
                <w:sz w:val="20"/>
                <w:szCs w:val="20"/>
                <w:color w:val="auto"/>
              </w:rPr>
            </w:pPr>
            <w:r>
              <w:rPr>
                <w:rFonts w:ascii="Arial" w:cs="Arial" w:eastAsia="Arial" w:hAnsi="Arial"/>
                <w:sz w:val="18"/>
                <w:szCs w:val="18"/>
                <w:color w:val="auto"/>
              </w:rPr>
              <w:t>Year ended</w:t>
            </w:r>
          </w:p>
        </w:tc>
        <w:tc>
          <w:tcPr>
            <w:tcW w:w="1220" w:type="dxa"/>
            <w:vAlign w:val="bottom"/>
            <w:vMerge w:val="restart"/>
          </w:tcPr>
          <w:p>
            <w:pPr>
              <w:jc w:val="right"/>
              <w:ind w:right="12"/>
              <w:spacing w:after="0"/>
              <w:rPr>
                <w:sz w:val="20"/>
                <w:szCs w:val="20"/>
                <w:color w:val="auto"/>
              </w:rPr>
            </w:pPr>
            <w:r>
              <w:rPr>
                <w:rFonts w:ascii="Arial" w:cs="Arial" w:eastAsia="Arial" w:hAnsi="Arial"/>
                <w:sz w:val="18"/>
                <w:szCs w:val="18"/>
                <w:color w:val="auto"/>
              </w:rPr>
              <w:t>Year ended</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400" w:type="dxa"/>
            <w:vAlign w:val="bottom"/>
            <w:tcBorders>
              <w:left w:val="single" w:sz="8" w:color="auto"/>
              <w:right w:val="single" w:sz="8" w:color="auto"/>
            </w:tcBorders>
          </w:tcPr>
          <w:p>
            <w:pPr>
              <w:jc w:val="right"/>
              <w:ind w:right="52"/>
              <w:spacing w:after="0" w:line="187" w:lineRule="exact"/>
              <w:rPr>
                <w:sz w:val="20"/>
                <w:szCs w:val="20"/>
                <w:color w:val="auto"/>
              </w:rPr>
            </w:pPr>
            <w:r>
              <w:rPr>
                <w:rFonts w:ascii="Arial" w:cs="Arial" w:eastAsia="Arial" w:hAnsi="Arial"/>
                <w:sz w:val="18"/>
                <w:szCs w:val="18"/>
                <w:b w:val="1"/>
                <w:bCs w:val="1"/>
                <w:color w:val="auto"/>
              </w:rPr>
              <w:t>Year ended</w:t>
            </w:r>
          </w:p>
        </w:tc>
        <w:tc>
          <w:tcPr>
            <w:tcW w:w="144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40" w:type="dxa"/>
            <w:vAlign w:val="bottom"/>
            <w:tcBorders>
              <w:left w:val="single" w:sz="8" w:color="auto"/>
              <w:right w:val="single" w:sz="8" w:color="auto"/>
            </w:tcBorders>
          </w:tcPr>
          <w:p>
            <w:pPr>
              <w:jc w:val="right"/>
              <w:ind w:right="12"/>
              <w:spacing w:after="0" w:line="187" w:lineRule="exact"/>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rPr>
              <w:t>31 December</w:t>
            </w:r>
          </w:p>
        </w:tc>
        <w:tc>
          <w:tcPr>
            <w:tcW w:w="1400" w:type="dxa"/>
            <w:vAlign w:val="bottom"/>
            <w:tcBorders>
              <w:left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31 December</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Note</w:t>
            </w:r>
          </w:p>
        </w:tc>
        <w:tc>
          <w:tcPr>
            <w:tcW w:w="166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rPr>
              <w:t>2012</w:t>
            </w:r>
          </w:p>
        </w:tc>
        <w:tc>
          <w:tcPr>
            <w:tcW w:w="1400" w:type="dxa"/>
            <w:vAlign w:val="bottom"/>
            <w:tcBorders>
              <w:left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2012</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2011</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jc w:val="right"/>
              <w:ind w:right="152"/>
              <w:spacing w:after="0"/>
              <w:rPr>
                <w:sz w:val="20"/>
                <w:szCs w:val="20"/>
                <w:color w:val="auto"/>
              </w:rPr>
            </w:pPr>
            <w:r>
              <w:rPr>
                <w:rFonts w:ascii="Arial" w:cs="Arial" w:eastAsia="Arial" w:hAnsi="Arial"/>
                <w:sz w:val="18"/>
                <w:szCs w:val="18"/>
                <w:b w:val="1"/>
                <w:bCs w:val="1"/>
                <w:color w:val="auto"/>
              </w:rPr>
              <w:t>Excluding</w:t>
            </w:r>
          </w:p>
        </w:tc>
        <w:tc>
          <w:tcPr>
            <w:tcW w:w="1280" w:type="dxa"/>
            <w:vAlign w:val="bottom"/>
          </w:tcPr>
          <w:p>
            <w:pPr>
              <w:spacing w:after="0"/>
              <w:rPr>
                <w:sz w:val="18"/>
                <w:szCs w:val="18"/>
                <w:color w:val="auto"/>
              </w:rPr>
            </w:pPr>
          </w:p>
        </w:tc>
        <w:tc>
          <w:tcPr>
            <w:tcW w:w="1400" w:type="dxa"/>
            <w:vAlign w:val="bottom"/>
            <w:tcBorders>
              <w:left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Including</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Excluding</w:t>
            </w:r>
          </w:p>
        </w:tc>
        <w:tc>
          <w:tcPr>
            <w:tcW w:w="1220" w:type="dxa"/>
            <w:vAlign w:val="bottom"/>
          </w:tcPr>
          <w:p>
            <w:pPr>
              <w:spacing w:after="0"/>
              <w:rPr>
                <w:sz w:val="18"/>
                <w:szCs w:val="18"/>
                <w:color w:val="auto"/>
              </w:rPr>
            </w:pP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Including</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jc w:val="right"/>
              <w:ind w:right="152"/>
              <w:spacing w:after="0"/>
              <w:rPr>
                <w:sz w:val="20"/>
                <w:szCs w:val="20"/>
                <w:color w:val="auto"/>
              </w:rPr>
            </w:pPr>
            <w:r>
              <w:rPr>
                <w:rFonts w:ascii="Arial" w:cs="Arial" w:eastAsia="Arial" w:hAnsi="Arial"/>
                <w:sz w:val="18"/>
                <w:szCs w:val="18"/>
                <w:b w:val="1"/>
                <w:bCs w:val="1"/>
                <w:color w:val="auto"/>
              </w:rPr>
              <w:t>Exceptional</w:t>
            </w: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rPr>
              <w:t>Exceptional</w:t>
            </w:r>
          </w:p>
        </w:tc>
        <w:tc>
          <w:tcPr>
            <w:tcW w:w="1400" w:type="dxa"/>
            <w:vAlign w:val="bottom"/>
            <w:tcBorders>
              <w:left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Exceptional</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Exceptional</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Exceptional</w:t>
            </w: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Exceptional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jc w:val="right"/>
              <w:ind w:right="152"/>
              <w:spacing w:after="0"/>
              <w:rPr>
                <w:sz w:val="20"/>
                <w:szCs w:val="20"/>
                <w:color w:val="auto"/>
              </w:rPr>
            </w:pPr>
            <w:r>
              <w:rPr>
                <w:rFonts w:ascii="Arial" w:cs="Arial" w:eastAsia="Arial" w:hAnsi="Arial"/>
                <w:sz w:val="18"/>
                <w:szCs w:val="18"/>
                <w:b w:val="1"/>
                <w:bCs w:val="1"/>
                <w:color w:val="auto"/>
              </w:rPr>
              <w:t>items</w:t>
            </w: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rPr>
              <w:t>items</w:t>
            </w:r>
          </w:p>
        </w:tc>
        <w:tc>
          <w:tcPr>
            <w:tcW w:w="1400" w:type="dxa"/>
            <w:vAlign w:val="bottom"/>
            <w:tcBorders>
              <w:left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items</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items</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items</w:t>
            </w: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items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6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rPr>
              <w:t>$’000</w:t>
            </w:r>
          </w:p>
        </w:tc>
        <w:tc>
          <w:tcPr>
            <w:tcW w:w="1400" w:type="dxa"/>
            <w:vAlign w:val="bottom"/>
            <w:tcBorders>
              <w:left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$’000</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25"/>
        </w:trPr>
        <w:tc>
          <w:tcPr>
            <w:tcW w:w="20" w:type="dxa"/>
            <w:vAlign w:val="bottom"/>
            <w:vMerge w:val="restart"/>
          </w:tcPr>
          <w:p>
            <w:pPr>
              <w:spacing w:after="0"/>
              <w:rPr>
                <w:sz w:val="24"/>
                <w:szCs w:val="24"/>
                <w:color w:val="auto"/>
              </w:rPr>
            </w:pPr>
          </w:p>
        </w:tc>
        <w:tc>
          <w:tcPr>
            <w:tcW w:w="2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Borders>
              <w:left w:val="single" w:sz="8" w:color="auto"/>
              <w:right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Borders>
              <w:left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revenue</w:t>
            </w:r>
          </w:p>
        </w:tc>
        <w:tc>
          <w:tcPr>
            <w:tcW w:w="7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1,503,993</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400" w:type="dxa"/>
            <w:vAlign w:val="bottom"/>
            <w:tcBorders>
              <w:left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1,503,993</w:t>
            </w: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1,296,509</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340" w:type="dxa"/>
            <w:vAlign w:val="bottom"/>
            <w:tcBorders>
              <w:left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1,296,509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Reimbursable expenses</w:t>
            </w:r>
          </w:p>
        </w:tc>
        <w:tc>
          <w:tcPr>
            <w:tcW w:w="7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(388,987)</w:t>
            </w: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4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(388,987)</w:t>
            </w: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(350,780)</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3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(350,780)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760" w:type="dxa"/>
            <w:vAlign w:val="bottom"/>
            <w:shd w:val="clear" w:color="auto" w:fill="CCEEFF"/>
          </w:tcPr>
          <w:p>
            <w:pPr>
              <w:jc w:val="center"/>
              <w:ind w:right="132"/>
              <w:spacing w:after="0"/>
              <w:rPr>
                <w:sz w:val="20"/>
                <w:szCs w:val="20"/>
                <w:color w:val="auto"/>
              </w:rPr>
            </w:pPr>
            <w:r>
              <w:rPr>
                <w:rFonts w:ascii="Arial" w:cs="Arial" w:eastAsia="Arial" w:hAnsi="Arial"/>
                <w:sz w:val="18"/>
                <w:szCs w:val="18"/>
                <w:i w:val="1"/>
                <w:iCs w:val="1"/>
                <w:color w:val="auto"/>
                <w:w w:val="99"/>
              </w:rPr>
              <w:t>1</w:t>
            </w:r>
          </w:p>
        </w:tc>
        <w:tc>
          <w:tcPr>
            <w:tcW w:w="16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1,115,006</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400" w:type="dxa"/>
            <w:vAlign w:val="bottom"/>
            <w:tcBorders>
              <w:left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1,115,006</w:t>
            </w: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945,729</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340" w:type="dxa"/>
            <w:vAlign w:val="bottom"/>
            <w:tcBorders>
              <w:left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945,729</w:t>
            </w:r>
          </w:p>
        </w:tc>
        <w:tc>
          <w:tcPr>
            <w:tcW w:w="0" w:type="dxa"/>
            <w:vAlign w:val="bottom"/>
          </w:tcPr>
          <w:p>
            <w:pPr>
              <w:spacing w:after="0"/>
              <w:rPr>
                <w:sz w:val="1"/>
                <w:szCs w:val="1"/>
                <w:color w:val="auto"/>
              </w:rPr>
            </w:pPr>
          </w:p>
        </w:tc>
      </w:tr>
      <w:tr>
        <w:trPr>
          <w:trHeight w:val="212"/>
        </w:trPr>
        <w:tc>
          <w:tcPr>
            <w:tcW w:w="232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0" w:type="dxa"/>
            <w:vAlign w:val="bottom"/>
            <w:tcBorders>
              <w:left w:val="single" w:sz="8" w:color="auto"/>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Borders>
              <w:left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0" w:type="dxa"/>
            <w:vAlign w:val="bottom"/>
            <w:tcBorders>
              <w:left w:val="single" w:sz="8" w:color="auto"/>
              <w:right w:val="single" w:sz="8" w:color="auto"/>
            </w:tcBorders>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40" w:type="dxa"/>
            <w:vAlign w:val="bottom"/>
            <w:tcBorders>
              <w:left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Direct costs</w:t>
            </w:r>
          </w:p>
        </w:tc>
        <w:tc>
          <w:tcPr>
            <w:tcW w:w="760" w:type="dxa"/>
            <w:vAlign w:val="bottom"/>
          </w:tcPr>
          <w:p>
            <w:pPr>
              <w:jc w:val="center"/>
              <w:ind w:right="132"/>
              <w:spacing w:after="0"/>
              <w:rPr>
                <w:sz w:val="20"/>
                <w:szCs w:val="20"/>
                <w:color w:val="auto"/>
              </w:rPr>
            </w:pPr>
            <w:r>
              <w:rPr>
                <w:rFonts w:ascii="Arial" w:cs="Arial" w:eastAsia="Arial" w:hAnsi="Arial"/>
                <w:sz w:val="18"/>
                <w:szCs w:val="18"/>
                <w:i w:val="1"/>
                <w:iCs w:val="1"/>
                <w:color w:val="auto"/>
                <w:w w:val="99"/>
              </w:rPr>
              <w:t>7</w:t>
            </w:r>
          </w:p>
        </w:tc>
        <w:tc>
          <w:tcPr>
            <w:tcW w:w="1660" w:type="dxa"/>
            <w:vAlign w:val="bottom"/>
          </w:tcPr>
          <w:p>
            <w:pPr>
              <w:jc w:val="right"/>
              <w:ind w:right="92"/>
              <w:spacing w:after="0"/>
              <w:rPr>
                <w:sz w:val="20"/>
                <w:szCs w:val="20"/>
                <w:color w:val="auto"/>
              </w:rPr>
            </w:pPr>
            <w:r>
              <w:rPr>
                <w:rFonts w:ascii="Arial" w:cs="Arial" w:eastAsia="Arial" w:hAnsi="Arial"/>
                <w:sz w:val="18"/>
                <w:szCs w:val="18"/>
                <w:b w:val="1"/>
                <w:bCs w:val="1"/>
                <w:color w:val="auto"/>
              </w:rPr>
              <w:t>(717,140)</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(994)</w:t>
            </w:r>
          </w:p>
        </w:tc>
        <w:tc>
          <w:tcPr>
            <w:tcW w:w="1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(718,134)</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(612,038)</w:t>
            </w:r>
          </w:p>
        </w:tc>
        <w:tc>
          <w:tcPr>
            <w:tcW w:w="1220" w:type="dxa"/>
            <w:vAlign w:val="bottom"/>
          </w:tcPr>
          <w:p>
            <w:pPr>
              <w:jc w:val="right"/>
              <w:spacing w:after="0"/>
              <w:rPr>
                <w:sz w:val="20"/>
                <w:szCs w:val="20"/>
                <w:color w:val="auto"/>
              </w:rPr>
            </w:pPr>
            <w:r>
              <w:rPr>
                <w:rFonts w:ascii="Arial" w:cs="Arial" w:eastAsia="Arial" w:hAnsi="Arial"/>
                <w:sz w:val="18"/>
                <w:szCs w:val="18"/>
                <w:color w:val="auto"/>
              </w:rPr>
              <w:t>(5,838)</w:t>
            </w:r>
          </w:p>
        </w:tc>
        <w:tc>
          <w:tcPr>
            <w:tcW w:w="13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(617,876)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760" w:type="dxa"/>
            <w:vAlign w:val="bottom"/>
            <w:tcBorders>
              <w:bottom w:val="single" w:sz="8" w:color="auto"/>
            </w:tcBorders>
            <w:shd w:val="clear" w:color="auto" w:fill="CCEEFF"/>
          </w:tcPr>
          <w:p>
            <w:pPr>
              <w:jc w:val="center"/>
              <w:ind w:right="132"/>
              <w:spacing w:after="0"/>
              <w:rPr>
                <w:sz w:val="20"/>
                <w:szCs w:val="20"/>
                <w:color w:val="auto"/>
              </w:rPr>
            </w:pPr>
            <w:r>
              <w:rPr>
                <w:rFonts w:ascii="Arial" w:cs="Arial" w:eastAsia="Arial" w:hAnsi="Arial"/>
                <w:sz w:val="18"/>
                <w:szCs w:val="18"/>
                <w:i w:val="1"/>
                <w:iCs w:val="1"/>
                <w:color w:val="auto"/>
                <w:w w:val="99"/>
              </w:rPr>
              <w:t>7</w:t>
            </w:r>
          </w:p>
        </w:tc>
        <w:tc>
          <w:tcPr>
            <w:tcW w:w="1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(322,859)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(4,444)</w:t>
            </w:r>
          </w:p>
        </w:tc>
        <w:tc>
          <w:tcPr>
            <w:tcW w:w="140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(327,303)</w:t>
            </w:r>
          </w:p>
        </w:tc>
        <w:tc>
          <w:tcPr>
            <w:tcW w:w="14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(294,850)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134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760" w:type="dxa"/>
            <w:vAlign w:val="bottom"/>
          </w:tcPr>
          <w:p>
            <w:pPr>
              <w:spacing w:after="0"/>
              <w:rPr>
                <w:sz w:val="18"/>
                <w:szCs w:val="18"/>
                <w:color w:val="auto"/>
              </w:rPr>
            </w:pPr>
          </w:p>
        </w:tc>
        <w:tc>
          <w:tcPr>
            <w:tcW w:w="1660" w:type="dxa"/>
            <w:vAlign w:val="bottom"/>
          </w:tcPr>
          <w:p>
            <w:pPr>
              <w:jc w:val="right"/>
              <w:ind w:right="152"/>
              <w:spacing w:after="0"/>
              <w:rPr>
                <w:sz w:val="20"/>
                <w:szCs w:val="20"/>
                <w:color w:val="auto"/>
              </w:rPr>
            </w:pPr>
            <w:r>
              <w:rPr>
                <w:rFonts w:ascii="Arial" w:cs="Arial" w:eastAsia="Arial" w:hAnsi="Arial"/>
                <w:sz w:val="18"/>
                <w:szCs w:val="18"/>
                <w:b w:val="1"/>
                <w:bCs w:val="1"/>
                <w:color w:val="auto"/>
              </w:rPr>
              <w:t>75,007</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(5,438)</w:t>
            </w:r>
          </w:p>
        </w:tc>
        <w:tc>
          <w:tcPr>
            <w:tcW w:w="1400" w:type="dxa"/>
            <w:vAlign w:val="bottom"/>
            <w:tcBorders>
              <w:left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69,569</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38,841</w:t>
            </w:r>
          </w:p>
        </w:tc>
        <w:tc>
          <w:tcPr>
            <w:tcW w:w="1220" w:type="dxa"/>
            <w:vAlign w:val="bottom"/>
          </w:tcPr>
          <w:p>
            <w:pPr>
              <w:jc w:val="right"/>
              <w:spacing w:after="0"/>
              <w:rPr>
                <w:sz w:val="20"/>
                <w:szCs w:val="20"/>
                <w:color w:val="auto"/>
              </w:rPr>
            </w:pPr>
            <w:r>
              <w:rPr>
                <w:rFonts w:ascii="Arial" w:cs="Arial" w:eastAsia="Arial" w:hAnsi="Arial"/>
                <w:sz w:val="18"/>
                <w:szCs w:val="18"/>
                <w:color w:val="auto"/>
              </w:rPr>
              <w:t>(9,817)</w:t>
            </w: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29,024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0" w:type="dxa"/>
            <w:vAlign w:val="bottom"/>
            <w:tcBorders>
              <w:left w:val="single" w:sz="8" w:color="auto"/>
              <w:right w:val="single" w:sz="8" w:color="auto"/>
            </w:tcBorders>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40" w:type="dxa"/>
            <w:vAlign w:val="bottom"/>
            <w:tcBorders>
              <w:left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Financing income</w:t>
            </w:r>
          </w:p>
        </w:tc>
        <w:tc>
          <w:tcPr>
            <w:tcW w:w="760" w:type="dxa"/>
            <w:vAlign w:val="bottom"/>
          </w:tcPr>
          <w:p>
            <w:pPr>
              <w:jc w:val="center"/>
              <w:ind w:right="132"/>
              <w:spacing w:after="0"/>
              <w:rPr>
                <w:sz w:val="20"/>
                <w:szCs w:val="20"/>
                <w:color w:val="auto"/>
              </w:rPr>
            </w:pPr>
            <w:r>
              <w:rPr>
                <w:rFonts w:ascii="Arial" w:cs="Arial" w:eastAsia="Arial" w:hAnsi="Arial"/>
                <w:sz w:val="18"/>
                <w:szCs w:val="18"/>
                <w:i w:val="1"/>
                <w:iCs w:val="1"/>
                <w:color w:val="auto"/>
                <w:w w:val="99"/>
              </w:rPr>
              <w:t>3</w:t>
            </w:r>
          </w:p>
        </w:tc>
        <w:tc>
          <w:tcPr>
            <w:tcW w:w="1660" w:type="dxa"/>
            <w:vAlign w:val="bottom"/>
          </w:tcPr>
          <w:p>
            <w:pPr>
              <w:jc w:val="right"/>
              <w:ind w:right="152"/>
              <w:spacing w:after="0"/>
              <w:rPr>
                <w:sz w:val="20"/>
                <w:szCs w:val="20"/>
                <w:color w:val="auto"/>
              </w:rPr>
            </w:pPr>
            <w:r>
              <w:rPr>
                <w:rFonts w:ascii="Arial" w:cs="Arial" w:eastAsia="Arial" w:hAnsi="Arial"/>
                <w:sz w:val="18"/>
                <w:szCs w:val="18"/>
                <w:b w:val="1"/>
                <w:bCs w:val="1"/>
                <w:color w:val="auto"/>
              </w:rPr>
              <w:t>2,046</w:t>
            </w: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400" w:type="dxa"/>
            <w:vAlign w:val="bottom"/>
            <w:tcBorders>
              <w:left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2,046</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2,335</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Financing expense</w:t>
            </w:r>
          </w:p>
        </w:tc>
        <w:tc>
          <w:tcPr>
            <w:tcW w:w="760" w:type="dxa"/>
            <w:vAlign w:val="bottom"/>
            <w:tcBorders>
              <w:bottom w:val="single" w:sz="8" w:color="auto"/>
            </w:tcBorders>
            <w:shd w:val="clear" w:color="auto" w:fill="CCEEFF"/>
          </w:tcPr>
          <w:p>
            <w:pPr>
              <w:jc w:val="center"/>
              <w:ind w:right="132"/>
              <w:spacing w:after="0"/>
              <w:rPr>
                <w:sz w:val="20"/>
                <w:szCs w:val="20"/>
                <w:color w:val="auto"/>
              </w:rPr>
            </w:pPr>
            <w:r>
              <w:rPr>
                <w:rFonts w:ascii="Arial" w:cs="Arial" w:eastAsia="Arial" w:hAnsi="Arial"/>
                <w:sz w:val="18"/>
                <w:szCs w:val="18"/>
                <w:i w:val="1"/>
                <w:iCs w:val="1"/>
                <w:color w:val="auto"/>
                <w:w w:val="99"/>
              </w:rPr>
              <w:t>4</w:t>
            </w:r>
          </w:p>
        </w:tc>
        <w:tc>
          <w:tcPr>
            <w:tcW w:w="1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(2,911)</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40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(2,911)</w:t>
            </w:r>
          </w:p>
        </w:tc>
        <w:tc>
          <w:tcPr>
            <w:tcW w:w="14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(2,573)</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0" w:type="dxa"/>
            <w:vAlign w:val="bottom"/>
            <w:tcBorders>
              <w:left w:val="single" w:sz="8" w:color="auto"/>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Borders>
              <w:left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before taxation</w:t>
            </w:r>
          </w:p>
        </w:tc>
        <w:tc>
          <w:tcPr>
            <w:tcW w:w="7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74,142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(5,438)</w:t>
            </w:r>
          </w:p>
        </w:tc>
        <w:tc>
          <w:tcPr>
            <w:tcW w:w="1400" w:type="dxa"/>
            <w:vAlign w:val="bottom"/>
            <w:tcBorders>
              <w:left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68,704</w:t>
            </w: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38,603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(9,817)</w:t>
            </w:r>
          </w:p>
        </w:tc>
        <w:tc>
          <w:tcPr>
            <w:tcW w:w="1340" w:type="dxa"/>
            <w:vAlign w:val="bottom"/>
            <w:tcBorders>
              <w:left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28,786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7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i w:val="1"/>
                <w:iCs w:val="1"/>
                <w:color w:val="auto"/>
                <w:w w:val="87"/>
              </w:rPr>
              <w:t>5,7</w:t>
            </w:r>
          </w:p>
        </w:tc>
        <w:tc>
          <w:tcPr>
            <w:tcW w:w="1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(11,063)</w:t>
            </w: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705</w:t>
            </w:r>
          </w:p>
        </w:tc>
        <w:tc>
          <w:tcPr>
            <w:tcW w:w="14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(10,358)</w:t>
            </w: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(10,787)</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1,231</w:t>
            </w:r>
          </w:p>
        </w:tc>
        <w:tc>
          <w:tcPr>
            <w:tcW w:w="13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(9,556)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0" w:type="dxa"/>
            <w:vAlign w:val="bottom"/>
            <w:tcBorders>
              <w:left w:val="single" w:sz="8" w:color="auto"/>
              <w:right w:val="single" w:sz="8" w:color="auto"/>
            </w:tcBorders>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40" w:type="dxa"/>
            <w:vAlign w:val="bottom"/>
            <w:tcBorders>
              <w:left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300" w:type="dxa"/>
            <w:vAlign w:val="bottom"/>
          </w:tcPr>
          <w:p>
            <w:pPr>
              <w:spacing w:after="0" w:line="194" w:lineRule="exact"/>
              <w:rPr>
                <w:sz w:val="20"/>
                <w:szCs w:val="20"/>
                <w:color w:val="auto"/>
              </w:rPr>
            </w:pPr>
            <w:r>
              <w:rPr>
                <w:rFonts w:ascii="Arial" w:cs="Arial" w:eastAsia="Arial" w:hAnsi="Arial"/>
                <w:sz w:val="18"/>
                <w:szCs w:val="18"/>
                <w:b w:val="1"/>
                <w:bCs w:val="1"/>
                <w:color w:val="auto"/>
              </w:rPr>
              <w:t>Profit for the financial</w:t>
            </w:r>
          </w:p>
        </w:tc>
        <w:tc>
          <w:tcPr>
            <w:tcW w:w="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Borders>
              <w:left w:val="single" w:sz="8" w:color="auto"/>
              <w:right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40" w:type="dxa"/>
            <w:vAlign w:val="bottom"/>
            <w:tcBorders>
              <w:left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760" w:type="dxa"/>
            <w:vAlign w:val="bottom"/>
          </w:tcPr>
          <w:p>
            <w:pPr>
              <w:spacing w:after="0"/>
              <w:rPr>
                <w:sz w:val="20"/>
                <w:szCs w:val="20"/>
                <w:color w:val="auto"/>
              </w:rPr>
            </w:pPr>
          </w:p>
        </w:tc>
        <w:tc>
          <w:tcPr>
            <w:tcW w:w="1660" w:type="dxa"/>
            <w:vAlign w:val="bottom"/>
          </w:tcPr>
          <w:p>
            <w:pPr>
              <w:jc w:val="right"/>
              <w:ind w:right="152"/>
              <w:spacing w:after="0"/>
              <w:rPr>
                <w:sz w:val="20"/>
                <w:szCs w:val="20"/>
                <w:color w:val="auto"/>
              </w:rPr>
            </w:pPr>
            <w:r>
              <w:rPr>
                <w:rFonts w:ascii="Arial" w:cs="Arial" w:eastAsia="Arial" w:hAnsi="Arial"/>
                <w:sz w:val="18"/>
                <w:szCs w:val="18"/>
                <w:b w:val="1"/>
                <w:bCs w:val="1"/>
                <w:color w:val="auto"/>
              </w:rPr>
              <w:t>63,079</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(4,733)</w:t>
            </w:r>
          </w:p>
        </w:tc>
        <w:tc>
          <w:tcPr>
            <w:tcW w:w="1400" w:type="dxa"/>
            <w:vAlign w:val="bottom"/>
            <w:tcBorders>
              <w:left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58,346</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27,816</w:t>
            </w:r>
          </w:p>
        </w:tc>
        <w:tc>
          <w:tcPr>
            <w:tcW w:w="1220" w:type="dxa"/>
            <w:vAlign w:val="bottom"/>
          </w:tcPr>
          <w:p>
            <w:pPr>
              <w:jc w:val="right"/>
              <w:spacing w:after="0"/>
              <w:rPr>
                <w:sz w:val="20"/>
                <w:szCs w:val="20"/>
                <w:color w:val="auto"/>
              </w:rPr>
            </w:pPr>
            <w:r>
              <w:rPr>
                <w:rFonts w:ascii="Arial" w:cs="Arial" w:eastAsia="Arial" w:hAnsi="Arial"/>
                <w:sz w:val="18"/>
                <w:szCs w:val="18"/>
                <w:color w:val="auto"/>
              </w:rPr>
              <w:t>(8,586)</w:t>
            </w: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19,230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left w:val="single" w:sz="8" w:color="auto"/>
              <w:bottom w:val="single" w:sz="8" w:color="auto"/>
              <w:right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left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0" w:type="dxa"/>
            <w:vAlign w:val="bottom"/>
            <w:tcBorders>
              <w:left w:val="single" w:sz="8" w:color="auto"/>
              <w:right w:val="single" w:sz="8" w:color="auto"/>
            </w:tcBorders>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40" w:type="dxa"/>
            <w:vAlign w:val="bottom"/>
            <w:tcBorders>
              <w:left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b w:val="1"/>
                <w:bCs w:val="1"/>
                <w:color w:val="auto"/>
              </w:rPr>
              <w:t>Attributable to:</w:t>
            </w:r>
          </w:p>
        </w:tc>
        <w:tc>
          <w:tcPr>
            <w:tcW w:w="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0" w:type="dxa"/>
            <w:vAlign w:val="bottom"/>
            <w:tcBorders>
              <w:left w:val="single" w:sz="8" w:color="auto"/>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Borders>
              <w:left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0" w:type="dxa"/>
            <w:vAlign w:val="bottom"/>
            <w:tcBorders>
              <w:left w:val="single" w:sz="8" w:color="auto"/>
              <w:right w:val="single" w:sz="8" w:color="auto"/>
            </w:tcBorders>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40" w:type="dxa"/>
            <w:vAlign w:val="bottom"/>
            <w:tcBorders>
              <w:left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300" w:type="dxa"/>
            <w:vAlign w:val="bottom"/>
          </w:tcPr>
          <w:p>
            <w:pPr>
              <w:spacing w:after="0" w:line="200" w:lineRule="exact"/>
              <w:rPr>
                <w:sz w:val="20"/>
                <w:szCs w:val="20"/>
                <w:color w:val="auto"/>
              </w:rPr>
            </w:pPr>
            <w:r>
              <w:rPr>
                <w:rFonts w:ascii="Arial" w:cs="Arial" w:eastAsia="Arial" w:hAnsi="Arial"/>
                <w:sz w:val="18"/>
                <w:szCs w:val="18"/>
                <w:color w:val="auto"/>
              </w:rPr>
              <w:t>Equity holders of the</w:t>
            </w:r>
          </w:p>
        </w:tc>
        <w:tc>
          <w:tcPr>
            <w:tcW w:w="760" w:type="dxa"/>
            <w:vAlign w:val="bottom"/>
          </w:tcPr>
          <w:p>
            <w:pPr>
              <w:spacing w:after="0"/>
              <w:rPr>
                <w:sz w:val="17"/>
                <w:szCs w:val="17"/>
                <w:color w:val="auto"/>
              </w:rPr>
            </w:pPr>
          </w:p>
        </w:tc>
        <w:tc>
          <w:tcPr>
            <w:tcW w:w="16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63,079</w:t>
            </w:r>
          </w:p>
        </w:tc>
        <w:tc>
          <w:tcPr>
            <w:tcW w:w="1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(4,733)</w:t>
            </w:r>
          </w:p>
        </w:tc>
        <w:tc>
          <w:tcPr>
            <w:tcW w:w="1400" w:type="dxa"/>
            <w:vAlign w:val="bottom"/>
            <w:tcBorders>
              <w:left w:val="single" w:sz="8" w:color="auto"/>
              <w:right w:val="single" w:sz="8" w:color="auto"/>
            </w:tcBorders>
            <w:vMerge w:val="restart"/>
          </w:tcPr>
          <w:p>
            <w:pPr>
              <w:jc w:val="right"/>
              <w:ind w:right="52"/>
              <w:spacing w:after="0"/>
              <w:rPr>
                <w:sz w:val="20"/>
                <w:szCs w:val="20"/>
                <w:color w:val="auto"/>
              </w:rPr>
            </w:pPr>
            <w:r>
              <w:rPr>
                <w:rFonts w:ascii="Arial" w:cs="Arial" w:eastAsia="Arial" w:hAnsi="Arial"/>
                <w:sz w:val="18"/>
                <w:szCs w:val="18"/>
                <w:b w:val="1"/>
                <w:bCs w:val="1"/>
                <w:color w:val="auto"/>
              </w:rPr>
              <w:t>58,346</w:t>
            </w: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32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760" w:type="dxa"/>
            <w:vAlign w:val="bottom"/>
          </w:tcPr>
          <w:p>
            <w:pPr>
              <w:jc w:val="center"/>
              <w:ind w:right="132"/>
              <w:spacing w:after="0"/>
              <w:rPr>
                <w:sz w:val="20"/>
                <w:szCs w:val="20"/>
                <w:color w:val="auto"/>
              </w:rPr>
            </w:pPr>
            <w:r>
              <w:rPr>
                <w:rFonts w:ascii="Arial" w:cs="Arial" w:eastAsia="Arial" w:hAnsi="Arial"/>
                <w:sz w:val="18"/>
                <w:szCs w:val="18"/>
                <w:i w:val="1"/>
                <w:iCs w:val="1"/>
                <w:color w:val="auto"/>
                <w:w w:val="89"/>
              </w:rPr>
              <w:t>24</w:t>
            </w:r>
          </w:p>
        </w:tc>
        <w:tc>
          <w:tcPr>
            <w:tcW w:w="166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400" w:type="dxa"/>
            <w:vAlign w:val="bottom"/>
            <w:tcBorders>
              <w:left w:val="single" w:sz="8" w:color="auto"/>
              <w:right w:val="single" w:sz="8" w:color="auto"/>
            </w:tcBorders>
            <w:vMerge w:val="continue"/>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27,816</w:t>
            </w:r>
          </w:p>
        </w:tc>
        <w:tc>
          <w:tcPr>
            <w:tcW w:w="1220" w:type="dxa"/>
            <w:vAlign w:val="bottom"/>
          </w:tcPr>
          <w:p>
            <w:pPr>
              <w:jc w:val="right"/>
              <w:spacing w:after="0"/>
              <w:rPr>
                <w:sz w:val="20"/>
                <w:szCs w:val="20"/>
                <w:color w:val="auto"/>
              </w:rPr>
            </w:pPr>
            <w:r>
              <w:rPr>
                <w:rFonts w:ascii="Arial" w:cs="Arial" w:eastAsia="Arial" w:hAnsi="Arial"/>
                <w:sz w:val="18"/>
                <w:szCs w:val="18"/>
                <w:color w:val="auto"/>
              </w:rPr>
              <w:t>(8,586)</w:t>
            </w: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19,230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left w:val="single" w:sz="8" w:color="auto"/>
              <w:bottom w:val="single" w:sz="8" w:color="auto"/>
              <w:right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left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0" w:type="dxa"/>
            <w:vAlign w:val="bottom"/>
            <w:tcBorders>
              <w:left w:val="single" w:sz="8" w:color="auto"/>
              <w:right w:val="single" w:sz="8" w:color="auto"/>
            </w:tcBorders>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40" w:type="dxa"/>
            <w:vAlign w:val="bottom"/>
            <w:tcBorders>
              <w:left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0" w:type="dxa"/>
            <w:vAlign w:val="bottom"/>
            <w:tcBorders>
              <w:left w:val="single" w:sz="8" w:color="auto"/>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Borders>
              <w:left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Earnings per ordinary</w:t>
            </w:r>
          </w:p>
        </w:tc>
        <w:tc>
          <w:tcPr>
            <w:tcW w:w="7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0" w:type="dxa"/>
            <w:vAlign w:val="bottom"/>
            <w:tcBorders>
              <w:left w:val="single" w:sz="8" w:color="auto"/>
              <w:right w:val="single" w:sz="8" w:color="auto"/>
            </w:tcBorders>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340" w:type="dxa"/>
            <w:vAlign w:val="bottom"/>
            <w:tcBorders>
              <w:left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w:t>
            </w:r>
          </w:p>
        </w:tc>
        <w:tc>
          <w:tcPr>
            <w:tcW w:w="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0" w:type="dxa"/>
            <w:vAlign w:val="bottom"/>
            <w:tcBorders>
              <w:left w:val="single" w:sz="8" w:color="auto"/>
              <w:right w:val="single" w:sz="8" w:color="auto"/>
            </w:tcBorders>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340" w:type="dxa"/>
            <w:vAlign w:val="bottom"/>
            <w:tcBorders>
              <w:left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0" w:type="dxa"/>
            <w:vAlign w:val="bottom"/>
            <w:tcBorders>
              <w:left w:val="single" w:sz="8" w:color="auto"/>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Borders>
              <w:left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2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760" w:type="dxa"/>
            <w:vAlign w:val="bottom"/>
            <w:tcBorders>
              <w:bottom w:val="single" w:sz="8" w:color="auto"/>
            </w:tcBorders>
            <w:shd w:val="clear" w:color="auto" w:fill="CCEEFF"/>
          </w:tcPr>
          <w:p>
            <w:pPr>
              <w:jc w:val="center"/>
              <w:ind w:right="132"/>
              <w:spacing w:after="0"/>
              <w:rPr>
                <w:sz w:val="20"/>
                <w:szCs w:val="20"/>
                <w:color w:val="auto"/>
              </w:rPr>
            </w:pPr>
            <w:r>
              <w:rPr>
                <w:rFonts w:ascii="Arial" w:cs="Arial" w:eastAsia="Arial" w:hAnsi="Arial"/>
                <w:sz w:val="18"/>
                <w:szCs w:val="18"/>
                <w:i w:val="1"/>
                <w:iCs w:val="1"/>
                <w:color w:val="auto"/>
                <w:w w:val="99"/>
              </w:rPr>
              <w:t>6</w:t>
            </w:r>
          </w:p>
        </w:tc>
        <w:tc>
          <w:tcPr>
            <w:tcW w:w="16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400" w:type="dxa"/>
            <w:vAlign w:val="bottom"/>
            <w:tcBorders>
              <w:left w:val="single" w:sz="8" w:color="auto"/>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0.97</w:t>
            </w:r>
          </w:p>
        </w:tc>
        <w:tc>
          <w:tcPr>
            <w:tcW w:w="14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tcBorders>
              <w:left w:val="single" w:sz="8" w:color="auto"/>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Borders>
              <w:left w:val="single" w:sz="8" w:color="auto"/>
              <w:right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2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760" w:type="dxa"/>
            <w:vAlign w:val="bottom"/>
            <w:tcBorders>
              <w:bottom w:val="single" w:sz="8" w:color="auto"/>
            </w:tcBorders>
            <w:shd w:val="clear" w:color="auto" w:fill="CCEEFF"/>
          </w:tcPr>
          <w:p>
            <w:pPr>
              <w:jc w:val="center"/>
              <w:ind w:right="132"/>
              <w:spacing w:after="0"/>
              <w:rPr>
                <w:sz w:val="20"/>
                <w:szCs w:val="20"/>
                <w:color w:val="auto"/>
              </w:rPr>
            </w:pPr>
            <w:r>
              <w:rPr>
                <w:rFonts w:ascii="Arial" w:cs="Arial" w:eastAsia="Arial" w:hAnsi="Arial"/>
                <w:sz w:val="18"/>
                <w:szCs w:val="18"/>
                <w:i w:val="1"/>
                <w:iCs w:val="1"/>
                <w:color w:val="auto"/>
                <w:w w:val="99"/>
              </w:rPr>
              <w:t>6</w:t>
            </w:r>
          </w:p>
        </w:tc>
        <w:tc>
          <w:tcPr>
            <w:tcW w:w="16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400" w:type="dxa"/>
            <w:vAlign w:val="bottom"/>
            <w:tcBorders>
              <w:left w:val="single" w:sz="8" w:color="auto"/>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0.96</w:t>
            </w:r>
          </w:p>
        </w:tc>
        <w:tc>
          <w:tcPr>
            <w:tcW w:w="14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tcBorders>
              <w:left w:val="single" w:sz="8" w:color="auto"/>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443"/>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On behalf of the Board</w:t>
            </w: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320" w:type="dxa"/>
            <w:vAlign w:val="bottom"/>
            <w:gridSpan w:val="2"/>
          </w:tcPr>
          <w:p>
            <w:pPr>
              <w:spacing w:after="0"/>
              <w:rPr>
                <w:sz w:val="20"/>
                <w:szCs w:val="20"/>
                <w:color w:val="auto"/>
              </w:rPr>
            </w:pPr>
            <w:r>
              <w:rPr>
                <w:rFonts w:ascii="Arial" w:cs="Arial" w:eastAsia="Arial" w:hAnsi="Arial"/>
                <w:sz w:val="18"/>
                <w:szCs w:val="18"/>
                <w:color w:val="auto"/>
              </w:rPr>
              <w:t>Declan McKeon</w:t>
            </w:r>
          </w:p>
        </w:tc>
        <w:tc>
          <w:tcPr>
            <w:tcW w:w="760" w:type="dxa"/>
            <w:vAlign w:val="bottom"/>
          </w:tcPr>
          <w:p>
            <w:pPr>
              <w:spacing w:after="0"/>
              <w:rPr>
                <w:sz w:val="24"/>
                <w:szCs w:val="24"/>
                <w:color w:val="auto"/>
              </w:rPr>
            </w:pPr>
          </w:p>
        </w:tc>
        <w:tc>
          <w:tcPr>
            <w:tcW w:w="1660" w:type="dxa"/>
            <w:vAlign w:val="bottom"/>
          </w:tcPr>
          <w:p>
            <w:pPr>
              <w:jc w:val="right"/>
              <w:ind w:right="172"/>
              <w:spacing w:after="0"/>
              <w:rPr>
                <w:sz w:val="20"/>
                <w:szCs w:val="20"/>
                <w:color w:val="auto"/>
              </w:rPr>
            </w:pPr>
            <w:r>
              <w:rPr>
                <w:rFonts w:ascii="Arial" w:cs="Arial" w:eastAsia="Arial" w:hAnsi="Arial"/>
                <w:sz w:val="18"/>
                <w:szCs w:val="18"/>
                <w:color w:val="auto"/>
              </w:rPr>
              <w:t>Ciaran Murray</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2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760" w:type="dxa"/>
            <w:vAlign w:val="bottom"/>
          </w:tcPr>
          <w:p>
            <w:pPr>
              <w:spacing w:after="0"/>
              <w:rPr>
                <w:sz w:val="19"/>
                <w:szCs w:val="19"/>
                <w:color w:val="auto"/>
              </w:rPr>
            </w:pPr>
          </w:p>
        </w:tc>
        <w:tc>
          <w:tcPr>
            <w:tcW w:w="1660" w:type="dxa"/>
            <w:vAlign w:val="bottom"/>
          </w:tcPr>
          <w:p>
            <w:pPr>
              <w:jc w:val="right"/>
              <w:ind w:right="612"/>
              <w:spacing w:after="0"/>
              <w:rPr>
                <w:sz w:val="20"/>
                <w:szCs w:val="20"/>
                <w:color w:val="auto"/>
              </w:rPr>
            </w:pPr>
            <w:r>
              <w:rPr>
                <w:rFonts w:ascii="Arial" w:cs="Arial" w:eastAsia="Arial" w:hAnsi="Arial"/>
                <w:sz w:val="18"/>
                <w:szCs w:val="18"/>
                <w:i w:val="1"/>
                <w:iCs w:val="1"/>
                <w:color w:val="auto"/>
              </w:rPr>
              <w:t>Director</w:t>
            </w: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7"/>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27</w:t>
            </w: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Consolidated Statement of Comprehensive Income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Year ended</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80" w:type="dxa"/>
            <w:vAlign w:val="bottom"/>
          </w:tcPr>
          <w:p>
            <w:pPr>
              <w:jc w:val="right"/>
              <w:ind w:right="312"/>
              <w:spacing w:after="0"/>
              <w:rPr>
                <w:sz w:val="20"/>
                <w:szCs w:val="20"/>
                <w:color w:val="auto"/>
              </w:rPr>
            </w:pPr>
            <w:r>
              <w:rPr>
                <w:rFonts w:ascii="Arial" w:cs="Arial" w:eastAsia="Arial" w:hAnsi="Arial"/>
                <w:sz w:val="18"/>
                <w:szCs w:val="18"/>
                <w:b w:val="1"/>
                <w:bCs w:val="1"/>
                <w:i w:val="1"/>
                <w:iCs w:val="1"/>
                <w:color w:val="auto"/>
              </w:rPr>
              <w:t>Note</w:t>
            </w: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24"/>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w:t>
            </w:r>
          </w:p>
        </w:tc>
        <w:tc>
          <w:tcPr>
            <w:tcW w:w="1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Items that will not be reclassified to profit or loss:</w:t>
            </w:r>
          </w:p>
        </w:tc>
        <w:tc>
          <w:tcPr>
            <w:tcW w:w="3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300" w:type="dxa"/>
            <w:vAlign w:val="bottom"/>
            <w:gridSpan w:val="2"/>
          </w:tcPr>
          <w:p>
            <w:pPr>
              <w:spacing w:after="0"/>
              <w:rPr>
                <w:sz w:val="18"/>
                <w:szCs w:val="18"/>
                <w:color w:val="auto"/>
              </w:rPr>
            </w:pPr>
          </w:p>
        </w:tc>
        <w:tc>
          <w:tcPr>
            <w:tcW w:w="3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Acturial gain/(loss) recognised on defined benefit pension scheme</w:t>
            </w:r>
          </w:p>
        </w:tc>
        <w:tc>
          <w:tcPr>
            <w:tcW w:w="3280" w:type="dxa"/>
            <w:vAlign w:val="bottom"/>
            <w:shd w:val="clear" w:color="auto" w:fill="CCEEFF"/>
          </w:tcPr>
          <w:p>
            <w:pPr>
              <w:jc w:val="center"/>
              <w:ind w:left="2152"/>
              <w:spacing w:after="0"/>
              <w:rPr>
                <w:sz w:val="20"/>
                <w:szCs w:val="20"/>
                <w:color w:val="auto"/>
              </w:rPr>
            </w:pPr>
            <w:r>
              <w:rPr>
                <w:rFonts w:ascii="Arial" w:cs="Arial" w:eastAsia="Arial" w:hAnsi="Arial"/>
                <w:sz w:val="18"/>
                <w:szCs w:val="18"/>
                <w:i w:val="1"/>
                <w:iCs w:val="1"/>
                <w:color w:val="auto"/>
                <w:w w:val="79"/>
              </w:rPr>
              <w:t>9</w:t>
            </w: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510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19"/>
        </w:trPr>
        <w:tc>
          <w:tcPr>
            <w:tcW w:w="5320" w:type="dxa"/>
            <w:vAlign w:val="bottom"/>
            <w:gridSpan w:val="3"/>
          </w:tcPr>
          <w:p>
            <w:pPr>
              <w:spacing w:after="0"/>
              <w:rPr>
                <w:sz w:val="19"/>
                <w:szCs w:val="19"/>
                <w:color w:val="auto"/>
              </w:rPr>
            </w:pPr>
          </w:p>
        </w:tc>
        <w:tc>
          <w:tcPr>
            <w:tcW w:w="3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00" w:type="dxa"/>
            <w:vAlign w:val="bottom"/>
            <w:tcBorders>
              <w:top w:val="single" w:sz="8" w:color="auto"/>
            </w:tcBorders>
            <w:gridSpan w:val="2"/>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 items that will not be reclassified to profit or loss</w:t>
            </w:r>
          </w:p>
        </w:tc>
        <w:tc>
          <w:tcPr>
            <w:tcW w:w="3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510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00" w:type="dxa"/>
            <w:vAlign w:val="bottom"/>
            <w:gridSpan w:val="2"/>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b w:val="1"/>
                <w:bCs w:val="1"/>
                <w:color w:val="auto"/>
                <w:w w:val="91"/>
              </w:rPr>
              <w:t>Items that are or may be reclassified subsequently to profit or loss:</w:t>
            </w:r>
          </w:p>
        </w:tc>
        <w:tc>
          <w:tcPr>
            <w:tcW w:w="3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Currency translation differences</w:t>
            </w:r>
          </w:p>
        </w:tc>
        <w:tc>
          <w:tcPr>
            <w:tcW w:w="1920" w:type="dxa"/>
            <w:vAlign w:val="bottom"/>
          </w:tcPr>
          <w:p>
            <w:pPr>
              <w:spacing w:after="0"/>
              <w:rPr>
                <w:sz w:val="18"/>
                <w:szCs w:val="18"/>
                <w:color w:val="auto"/>
              </w:rPr>
            </w:pPr>
          </w:p>
        </w:tc>
        <w:tc>
          <w:tcPr>
            <w:tcW w:w="3280" w:type="dxa"/>
            <w:vAlign w:val="bottom"/>
          </w:tcPr>
          <w:p>
            <w:pPr>
              <w:jc w:val="center"/>
              <w:ind w:left="2152"/>
              <w:spacing w:after="0"/>
              <w:rPr>
                <w:sz w:val="20"/>
                <w:szCs w:val="20"/>
                <w:color w:val="auto"/>
              </w:rPr>
            </w:pPr>
            <w:r>
              <w:rPr>
                <w:rFonts w:ascii="Arial" w:cs="Arial" w:eastAsia="Arial" w:hAnsi="Arial"/>
                <w:sz w:val="18"/>
                <w:szCs w:val="18"/>
                <w:i w:val="1"/>
                <w:iCs w:val="1"/>
                <w:color w:val="auto"/>
                <w:w w:val="79"/>
              </w:rPr>
              <w:t>24</w:t>
            </w: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4,494</w:t>
            </w:r>
          </w:p>
        </w:tc>
        <w:tc>
          <w:tcPr>
            <w:tcW w:w="1220" w:type="dxa"/>
            <w:vAlign w:val="bottom"/>
          </w:tcPr>
          <w:p>
            <w:pPr>
              <w:jc w:val="right"/>
              <w:spacing w:after="0"/>
              <w:rPr>
                <w:sz w:val="20"/>
                <w:szCs w:val="20"/>
                <w:color w:val="auto"/>
              </w:rPr>
            </w:pPr>
            <w:r>
              <w:rPr>
                <w:rFonts w:ascii="Arial" w:cs="Arial" w:eastAsia="Arial" w:hAnsi="Arial"/>
                <w:sz w:val="18"/>
                <w:szCs w:val="18"/>
                <w:color w:val="auto"/>
              </w:rPr>
              <w:t>(11,348)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00" w:type="dxa"/>
            <w:vAlign w:val="bottom"/>
            <w:gridSpan w:val="2"/>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Currency impact on long-term intercompany funding</w:t>
            </w:r>
          </w:p>
        </w:tc>
        <w:tc>
          <w:tcPr>
            <w:tcW w:w="3280" w:type="dxa"/>
            <w:vAlign w:val="bottom"/>
          </w:tcPr>
          <w:p>
            <w:pPr>
              <w:jc w:val="center"/>
              <w:ind w:left="2152"/>
              <w:spacing w:after="0"/>
              <w:rPr>
                <w:sz w:val="20"/>
                <w:szCs w:val="20"/>
                <w:color w:val="auto"/>
              </w:rPr>
            </w:pPr>
            <w:r>
              <w:rPr>
                <w:rFonts w:ascii="Arial" w:cs="Arial" w:eastAsia="Arial" w:hAnsi="Arial"/>
                <w:sz w:val="18"/>
                <w:szCs w:val="18"/>
                <w:i w:val="1"/>
                <w:iCs w:val="1"/>
                <w:color w:val="auto"/>
                <w:w w:val="79"/>
              </w:rPr>
              <w:t>24</w:t>
            </w: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1,982</w:t>
            </w:r>
          </w:p>
        </w:tc>
        <w:tc>
          <w:tcPr>
            <w:tcW w:w="122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w w:val="94"/>
              </w:rPr>
              <w:t>Tax on currency impact on long-term funding</w:t>
            </w:r>
          </w:p>
        </w:tc>
        <w:tc>
          <w:tcPr>
            <w:tcW w:w="1920" w:type="dxa"/>
            <w:vAlign w:val="bottom"/>
          </w:tcPr>
          <w:p>
            <w:pPr>
              <w:spacing w:after="0"/>
              <w:rPr>
                <w:sz w:val="18"/>
                <w:szCs w:val="18"/>
                <w:color w:val="auto"/>
              </w:rPr>
            </w:pPr>
          </w:p>
        </w:tc>
        <w:tc>
          <w:tcPr>
            <w:tcW w:w="3280" w:type="dxa"/>
            <w:vAlign w:val="bottom"/>
          </w:tcPr>
          <w:p>
            <w:pPr>
              <w:jc w:val="center"/>
              <w:ind w:left="2152"/>
              <w:spacing w:after="0"/>
              <w:rPr>
                <w:sz w:val="20"/>
                <w:szCs w:val="20"/>
                <w:color w:val="auto"/>
              </w:rPr>
            </w:pPr>
            <w:r>
              <w:rPr>
                <w:rFonts w:ascii="Arial" w:cs="Arial" w:eastAsia="Arial" w:hAnsi="Arial"/>
                <w:sz w:val="18"/>
                <w:szCs w:val="18"/>
                <w:i w:val="1"/>
                <w:iCs w:val="1"/>
                <w:color w:val="auto"/>
                <w:w w:val="79"/>
              </w:rPr>
              <w:t>24</w:t>
            </w:r>
          </w:p>
        </w:tc>
        <w:tc>
          <w:tcPr>
            <w:tcW w:w="1600" w:type="dxa"/>
            <w:vAlign w:val="bottom"/>
          </w:tcPr>
          <w:p>
            <w:pPr>
              <w:jc w:val="right"/>
              <w:ind w:right="72"/>
              <w:spacing w:after="0"/>
              <w:rPr>
                <w:sz w:val="20"/>
                <w:szCs w:val="20"/>
                <w:color w:val="auto"/>
              </w:rPr>
            </w:pPr>
            <w:r>
              <w:rPr>
                <w:rFonts w:ascii="Arial" w:cs="Arial" w:eastAsia="Arial" w:hAnsi="Arial"/>
                <w:sz w:val="18"/>
                <w:szCs w:val="18"/>
                <w:b w:val="1"/>
                <w:bCs w:val="1"/>
                <w:color w:val="auto"/>
              </w:rPr>
              <w:t>(356)</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w w:val="94"/>
              </w:rPr>
              <w:t>Unrealised capital gain/(loss) on investments</w:t>
            </w:r>
          </w:p>
        </w:tc>
        <w:tc>
          <w:tcPr>
            <w:tcW w:w="1920" w:type="dxa"/>
            <w:vAlign w:val="bottom"/>
          </w:tcPr>
          <w:p>
            <w:pPr>
              <w:spacing w:after="0"/>
              <w:rPr>
                <w:sz w:val="18"/>
                <w:szCs w:val="18"/>
                <w:color w:val="auto"/>
              </w:rPr>
            </w:pPr>
          </w:p>
        </w:tc>
        <w:tc>
          <w:tcPr>
            <w:tcW w:w="3280" w:type="dxa"/>
            <w:vAlign w:val="bottom"/>
          </w:tcPr>
          <w:p>
            <w:pPr>
              <w:jc w:val="center"/>
              <w:ind w:left="2152"/>
              <w:spacing w:after="0"/>
              <w:rPr>
                <w:sz w:val="20"/>
                <w:szCs w:val="20"/>
                <w:color w:val="auto"/>
              </w:rPr>
            </w:pPr>
            <w:r>
              <w:rPr>
                <w:rFonts w:ascii="Arial" w:cs="Arial" w:eastAsia="Arial" w:hAnsi="Arial"/>
                <w:sz w:val="18"/>
                <w:szCs w:val="18"/>
                <w:i w:val="1"/>
                <w:iCs w:val="1"/>
                <w:color w:val="auto"/>
                <w:w w:val="79"/>
              </w:rPr>
              <w:t>24</w:t>
            </w: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861</w:t>
            </w:r>
          </w:p>
        </w:tc>
        <w:tc>
          <w:tcPr>
            <w:tcW w:w="122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w w:val="88"/>
              </w:rPr>
              <w:t>Deferred tax movement on unexercised options</w:t>
            </w:r>
          </w:p>
        </w:tc>
        <w:tc>
          <w:tcPr>
            <w:tcW w:w="1920" w:type="dxa"/>
            <w:vAlign w:val="bottom"/>
          </w:tcPr>
          <w:p>
            <w:pPr>
              <w:spacing w:after="0"/>
              <w:rPr>
                <w:sz w:val="18"/>
                <w:szCs w:val="18"/>
                <w:color w:val="auto"/>
              </w:rPr>
            </w:pPr>
          </w:p>
        </w:tc>
        <w:tc>
          <w:tcPr>
            <w:tcW w:w="3280" w:type="dxa"/>
            <w:vAlign w:val="bottom"/>
          </w:tcPr>
          <w:p>
            <w:pPr>
              <w:jc w:val="center"/>
              <w:ind w:left="2152"/>
              <w:spacing w:after="0"/>
              <w:rPr>
                <w:sz w:val="20"/>
                <w:szCs w:val="20"/>
                <w:color w:val="auto"/>
              </w:rPr>
            </w:pPr>
            <w:r>
              <w:rPr>
                <w:rFonts w:ascii="Arial" w:cs="Arial" w:eastAsia="Arial" w:hAnsi="Arial"/>
                <w:sz w:val="18"/>
                <w:szCs w:val="18"/>
                <w:i w:val="1"/>
                <w:iCs w:val="1"/>
                <w:color w:val="auto"/>
                <w:w w:val="79"/>
              </w:rPr>
              <w:t>5</w:t>
            </w: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119</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benefit excess on exercised options</w:t>
            </w:r>
          </w:p>
        </w:tc>
        <w:tc>
          <w:tcPr>
            <w:tcW w:w="19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tcPr>
          <w:p>
            <w:pPr>
              <w:jc w:val="center"/>
              <w:ind w:left="2152"/>
              <w:spacing w:after="0"/>
              <w:rPr>
                <w:sz w:val="20"/>
                <w:szCs w:val="20"/>
                <w:color w:val="auto"/>
              </w:rPr>
            </w:pPr>
            <w:r>
              <w:rPr>
                <w:rFonts w:ascii="Arial" w:cs="Arial" w:eastAsia="Arial" w:hAnsi="Arial"/>
                <w:sz w:val="18"/>
                <w:szCs w:val="18"/>
                <w:i w:val="1"/>
                <w:iCs w:val="1"/>
                <w:color w:val="auto"/>
                <w:w w:val="79"/>
              </w:rPr>
              <w:t>24</w:t>
            </w: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1,274</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00" w:type="dxa"/>
            <w:vAlign w:val="bottom"/>
            <w:gridSpan w:val="2"/>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 items that are or may be reclassified to profit or loss</w:t>
            </w:r>
          </w:p>
        </w:tc>
        <w:tc>
          <w:tcPr>
            <w:tcW w:w="3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8,374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00" w:type="dxa"/>
            <w:vAlign w:val="bottom"/>
            <w:gridSpan w:val="2"/>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Other comprehensive income for the year, net of tax</w:t>
            </w:r>
          </w:p>
        </w:tc>
        <w:tc>
          <w:tcPr>
            <w:tcW w:w="328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8,884</w:t>
            </w:r>
          </w:p>
        </w:tc>
        <w:tc>
          <w:tcPr>
            <w:tcW w:w="1220" w:type="dxa"/>
            <w:vAlign w:val="bottom"/>
          </w:tcPr>
          <w:p>
            <w:pPr>
              <w:jc w:val="right"/>
              <w:spacing w:after="0"/>
              <w:rPr>
                <w:sz w:val="20"/>
                <w:szCs w:val="20"/>
                <w:color w:val="auto"/>
              </w:rPr>
            </w:pPr>
            <w:r>
              <w:rPr>
                <w:rFonts w:ascii="Arial" w:cs="Arial" w:eastAsia="Arial" w:hAnsi="Arial"/>
                <w:sz w:val="18"/>
                <w:szCs w:val="18"/>
                <w:color w:val="auto"/>
              </w:rPr>
              <w:t>(16,162)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Profit for the financial year</w:t>
            </w:r>
          </w:p>
        </w:tc>
        <w:tc>
          <w:tcPr>
            <w:tcW w:w="19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58,346</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19,230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00" w:type="dxa"/>
            <w:vAlign w:val="bottom"/>
            <w:gridSpan w:val="2"/>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comprehensive income for the financial year</w:t>
            </w:r>
          </w:p>
        </w:tc>
        <w:tc>
          <w:tcPr>
            <w:tcW w:w="3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67,230</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Attributable to:</w:t>
            </w:r>
          </w:p>
        </w:tc>
        <w:tc>
          <w:tcPr>
            <w:tcW w:w="19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holders of the Company</w:t>
            </w:r>
          </w:p>
        </w:tc>
        <w:tc>
          <w:tcPr>
            <w:tcW w:w="1920" w:type="dxa"/>
            <w:vAlign w:val="bottom"/>
            <w:tcBorders>
              <w:bottom w:val="single" w:sz="8" w:color="auto"/>
            </w:tcBorders>
            <w:shd w:val="clear" w:color="auto" w:fill="CCEEFF"/>
          </w:tcPr>
          <w:p>
            <w:pPr>
              <w:spacing w:after="0"/>
              <w:rPr>
                <w:sz w:val="21"/>
                <w:szCs w:val="21"/>
                <w:color w:val="auto"/>
              </w:rPr>
            </w:pPr>
          </w:p>
        </w:tc>
        <w:tc>
          <w:tcPr>
            <w:tcW w:w="32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67,230</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300" w:type="dxa"/>
            <w:vAlign w:val="bottom"/>
            <w:gridSpan w:val="2"/>
          </w:tcPr>
          <w:p>
            <w:pPr>
              <w:spacing w:after="0"/>
              <w:rPr>
                <w:sz w:val="17"/>
                <w:szCs w:val="17"/>
                <w:color w:val="auto"/>
              </w:rPr>
            </w:pPr>
          </w:p>
        </w:tc>
        <w:tc>
          <w:tcPr>
            <w:tcW w:w="3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3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for the financial year</w:t>
            </w:r>
          </w:p>
        </w:tc>
        <w:tc>
          <w:tcPr>
            <w:tcW w:w="32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67,230</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443"/>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On behalf of the Board</w:t>
            </w:r>
          </w:p>
        </w:tc>
        <w:tc>
          <w:tcPr>
            <w:tcW w:w="1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400" w:type="dxa"/>
            <w:vAlign w:val="bottom"/>
            <w:gridSpan w:val="2"/>
          </w:tcPr>
          <w:p>
            <w:pPr>
              <w:spacing w:after="0"/>
              <w:rPr>
                <w:sz w:val="20"/>
                <w:szCs w:val="20"/>
                <w:color w:val="auto"/>
              </w:rPr>
            </w:pPr>
            <w:r>
              <w:rPr>
                <w:rFonts w:ascii="Arial" w:cs="Arial" w:eastAsia="Arial" w:hAnsi="Arial"/>
                <w:sz w:val="18"/>
                <w:szCs w:val="18"/>
                <w:color w:val="auto"/>
              </w:rPr>
              <w:t>Declan McKeon</w:t>
            </w:r>
          </w:p>
        </w:tc>
        <w:tc>
          <w:tcPr>
            <w:tcW w:w="1920" w:type="dxa"/>
            <w:vAlign w:val="bottom"/>
          </w:tcPr>
          <w:p>
            <w:pPr>
              <w:ind w:left="40"/>
              <w:spacing w:after="0"/>
              <w:rPr>
                <w:sz w:val="20"/>
                <w:szCs w:val="20"/>
                <w:color w:val="auto"/>
              </w:rPr>
            </w:pPr>
            <w:r>
              <w:rPr>
                <w:rFonts w:ascii="Arial" w:cs="Arial" w:eastAsia="Arial" w:hAnsi="Arial"/>
                <w:sz w:val="18"/>
                <w:szCs w:val="18"/>
                <w:color w:val="auto"/>
              </w:rPr>
              <w:t>Ciaran Murray</w:t>
            </w:r>
          </w:p>
        </w:tc>
        <w:tc>
          <w:tcPr>
            <w:tcW w:w="3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920" w:type="dxa"/>
            <w:vAlign w:val="bottom"/>
          </w:tcPr>
          <w:p>
            <w:pPr>
              <w:ind w:left="40"/>
              <w:spacing w:after="0"/>
              <w:rPr>
                <w:sz w:val="20"/>
                <w:szCs w:val="20"/>
                <w:color w:val="auto"/>
              </w:rPr>
            </w:pPr>
            <w:r>
              <w:rPr>
                <w:rFonts w:ascii="Arial" w:cs="Arial" w:eastAsia="Arial" w:hAnsi="Arial"/>
                <w:sz w:val="18"/>
                <w:szCs w:val="18"/>
                <w:i w:val="1"/>
                <w:iCs w:val="1"/>
                <w:color w:val="auto"/>
              </w:rPr>
              <w:t>Director</w:t>
            </w:r>
          </w:p>
        </w:tc>
        <w:tc>
          <w:tcPr>
            <w:tcW w:w="3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7"/>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80" w:type="dxa"/>
            <w:vAlign w:val="bottom"/>
          </w:tcPr>
          <w:p>
            <w:pPr>
              <w:jc w:val="right"/>
              <w:ind w:right="2712"/>
              <w:spacing w:after="0"/>
              <w:rPr>
                <w:sz w:val="20"/>
                <w:szCs w:val="20"/>
                <w:color w:val="auto"/>
              </w:rPr>
            </w:pPr>
            <w:r>
              <w:rPr>
                <w:rFonts w:ascii="Arial" w:cs="Arial" w:eastAsia="Arial" w:hAnsi="Arial"/>
                <w:sz w:val="18"/>
                <w:szCs w:val="18"/>
                <w:color w:val="auto"/>
              </w:rPr>
              <w:t>28</w:t>
            </w: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Consolidated Statement of Financial Position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at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500" w:type="dxa"/>
            <w:vAlign w:val="bottom"/>
          </w:tcPr>
          <w:p>
            <w:pPr>
              <w:jc w:val="right"/>
              <w:ind w:right="112"/>
              <w:spacing w:after="0"/>
              <w:rPr>
                <w:sz w:val="20"/>
                <w:szCs w:val="20"/>
                <w:color w:val="auto"/>
              </w:rPr>
            </w:pPr>
            <w:r>
              <w:rPr>
                <w:rFonts w:ascii="Arial" w:cs="Arial" w:eastAsia="Arial" w:hAnsi="Arial"/>
                <w:sz w:val="18"/>
                <w:szCs w:val="18"/>
                <w:b w:val="1"/>
                <w:bCs w:val="1"/>
                <w:i w:val="1"/>
                <w:iCs w:val="1"/>
                <w:color w:val="auto"/>
              </w:rPr>
              <w:t>Note</w:t>
            </w:r>
          </w:p>
        </w:tc>
        <w:tc>
          <w:tcPr>
            <w:tcW w:w="1400" w:type="dxa"/>
            <w:vAlign w:val="bottom"/>
          </w:tcPr>
          <w:p>
            <w:pPr>
              <w:jc w:val="right"/>
              <w:ind w:right="13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2"/>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5500" w:type="dxa"/>
            <w:vAlign w:val="bottom"/>
          </w:tcPr>
          <w:p>
            <w:pPr>
              <w:spacing w:after="0"/>
              <w:rPr>
                <w:sz w:val="18"/>
                <w:szCs w:val="18"/>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9"/>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5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500" w:type="dxa"/>
            <w:vAlign w:val="bottom"/>
            <w:shd w:val="clear" w:color="auto" w:fill="CCEEFF"/>
          </w:tcPr>
          <w:p>
            <w:pPr>
              <w:jc w:val="right"/>
              <w:ind w:right="112"/>
              <w:spacing w:after="0"/>
              <w:rPr>
                <w:sz w:val="20"/>
                <w:szCs w:val="20"/>
                <w:color w:val="auto"/>
              </w:rPr>
            </w:pPr>
            <w:r>
              <w:rPr>
                <w:rFonts w:ascii="Arial" w:cs="Arial" w:eastAsia="Arial" w:hAnsi="Arial"/>
                <w:sz w:val="18"/>
                <w:szCs w:val="18"/>
                <w:i w:val="1"/>
                <w:iCs w:val="1"/>
                <w:color w:val="auto"/>
              </w:rPr>
              <w:t>11</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125,428</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129,389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Intangible assets – goodwill and other</w:t>
            </w:r>
          </w:p>
        </w:tc>
        <w:tc>
          <w:tcPr>
            <w:tcW w:w="5500" w:type="dxa"/>
            <w:vAlign w:val="bottom"/>
          </w:tcPr>
          <w:p>
            <w:pPr>
              <w:jc w:val="right"/>
              <w:ind w:right="112"/>
              <w:spacing w:after="0"/>
              <w:rPr>
                <w:sz w:val="20"/>
                <w:szCs w:val="20"/>
                <w:color w:val="auto"/>
              </w:rPr>
            </w:pPr>
            <w:r>
              <w:rPr>
                <w:rFonts w:ascii="Arial" w:cs="Arial" w:eastAsia="Arial" w:hAnsi="Arial"/>
                <w:sz w:val="18"/>
                <w:szCs w:val="18"/>
                <w:i w:val="1"/>
                <w:iCs w:val="1"/>
                <w:color w:val="auto"/>
              </w:rPr>
              <w:t>12</w:t>
            </w:r>
          </w:p>
        </w:tc>
        <w:tc>
          <w:tcPr>
            <w:tcW w:w="1400" w:type="dxa"/>
            <w:vAlign w:val="bottom"/>
          </w:tcPr>
          <w:p>
            <w:pPr>
              <w:jc w:val="right"/>
              <w:ind w:right="132"/>
              <w:spacing w:after="0"/>
              <w:rPr>
                <w:sz w:val="20"/>
                <w:szCs w:val="20"/>
                <w:color w:val="auto"/>
              </w:rPr>
            </w:pPr>
            <w:r>
              <w:rPr>
                <w:rFonts w:ascii="Arial" w:cs="Arial" w:eastAsia="Arial" w:hAnsi="Arial"/>
                <w:sz w:val="18"/>
                <w:szCs w:val="18"/>
                <w:b w:val="1"/>
                <w:bCs w:val="1"/>
                <w:color w:val="auto"/>
              </w:rPr>
              <w:t>406,845</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334,736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5500" w:type="dxa"/>
            <w:vAlign w:val="bottom"/>
            <w:shd w:val="clear" w:color="auto" w:fill="CCEEFF"/>
          </w:tcPr>
          <w:p>
            <w:pPr>
              <w:jc w:val="right"/>
              <w:ind w:right="112"/>
              <w:spacing w:after="0"/>
              <w:rPr>
                <w:sz w:val="20"/>
                <w:szCs w:val="20"/>
                <w:color w:val="auto"/>
              </w:rPr>
            </w:pPr>
            <w:r>
              <w:rPr>
                <w:rFonts w:ascii="Arial" w:cs="Arial" w:eastAsia="Arial" w:hAnsi="Arial"/>
                <w:sz w:val="18"/>
                <w:szCs w:val="18"/>
                <w:i w:val="1"/>
                <w:iCs w:val="1"/>
                <w:color w:val="auto"/>
              </w:rPr>
              <w:t>16</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11,352</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10,601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assets</w:t>
            </w:r>
          </w:p>
        </w:tc>
        <w:tc>
          <w:tcPr>
            <w:tcW w:w="55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i w:val="1"/>
                <w:iCs w:val="1"/>
                <w:color w:val="auto"/>
              </w:rPr>
              <w:t>5</w:t>
            </w:r>
          </w:p>
        </w:tc>
        <w:tc>
          <w:tcPr>
            <w:tcW w:w="1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14,636</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5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558,261</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481,250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5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Inventories</w:t>
            </w:r>
          </w:p>
        </w:tc>
        <w:tc>
          <w:tcPr>
            <w:tcW w:w="5500" w:type="dxa"/>
            <w:vAlign w:val="bottom"/>
          </w:tcPr>
          <w:p>
            <w:pPr>
              <w:jc w:val="right"/>
              <w:ind w:right="112"/>
              <w:spacing w:after="0"/>
              <w:rPr>
                <w:sz w:val="20"/>
                <w:szCs w:val="20"/>
                <w:color w:val="auto"/>
              </w:rPr>
            </w:pPr>
            <w:r>
              <w:rPr>
                <w:rFonts w:ascii="Arial" w:cs="Arial" w:eastAsia="Arial" w:hAnsi="Arial"/>
                <w:sz w:val="18"/>
                <w:szCs w:val="18"/>
                <w:i w:val="1"/>
                <w:iCs w:val="1"/>
                <w:color w:val="auto"/>
              </w:rPr>
              <w:t>14</w:t>
            </w:r>
          </w:p>
        </w:tc>
        <w:tc>
          <w:tcPr>
            <w:tcW w:w="1400" w:type="dxa"/>
            <w:vAlign w:val="bottom"/>
          </w:tcPr>
          <w:p>
            <w:pPr>
              <w:jc w:val="right"/>
              <w:ind w:right="132"/>
              <w:spacing w:after="0"/>
              <w:rPr>
                <w:sz w:val="20"/>
                <w:szCs w:val="20"/>
                <w:color w:val="auto"/>
              </w:rPr>
            </w:pPr>
            <w:r>
              <w:rPr>
                <w:rFonts w:ascii="Arial" w:cs="Arial" w:eastAsia="Arial" w:hAnsi="Arial"/>
                <w:sz w:val="18"/>
                <w:szCs w:val="18"/>
                <w:b w:val="1"/>
                <w:bCs w:val="1"/>
                <w:color w:val="auto"/>
              </w:rPr>
              <w:t>2,962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5500" w:type="dxa"/>
            <w:vAlign w:val="bottom"/>
            <w:shd w:val="clear" w:color="auto" w:fill="CCEEFF"/>
          </w:tcPr>
          <w:p>
            <w:pPr>
              <w:jc w:val="right"/>
              <w:ind w:right="112"/>
              <w:spacing w:after="0"/>
              <w:rPr>
                <w:sz w:val="20"/>
                <w:szCs w:val="20"/>
                <w:color w:val="auto"/>
              </w:rPr>
            </w:pPr>
            <w:r>
              <w:rPr>
                <w:rFonts w:ascii="Arial" w:cs="Arial" w:eastAsia="Arial" w:hAnsi="Arial"/>
                <w:sz w:val="18"/>
                <w:szCs w:val="18"/>
                <w:i w:val="1"/>
                <w:iCs w:val="1"/>
                <w:color w:val="auto"/>
              </w:rPr>
              <w:t>15</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285,419</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201,338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Unbilled revenue</w:t>
            </w:r>
          </w:p>
        </w:tc>
        <w:tc>
          <w:tcPr>
            <w:tcW w:w="5500" w:type="dxa"/>
            <w:vAlign w:val="bottom"/>
          </w:tcPr>
          <w:p>
            <w:pPr>
              <w:spacing w:after="0"/>
              <w:rPr>
                <w:sz w:val="18"/>
                <w:szCs w:val="18"/>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b w:val="1"/>
                <w:bCs w:val="1"/>
                <w:color w:val="auto"/>
              </w:rPr>
              <w:t>112,483</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126,850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5500" w:type="dxa"/>
            <w:vAlign w:val="bottom"/>
            <w:shd w:val="clear" w:color="auto" w:fill="CCEEFF"/>
          </w:tcPr>
          <w:p>
            <w:pPr>
              <w:jc w:val="right"/>
              <w:ind w:right="112"/>
              <w:spacing w:after="0"/>
              <w:rPr>
                <w:sz w:val="20"/>
                <w:szCs w:val="20"/>
                <w:color w:val="auto"/>
              </w:rPr>
            </w:pPr>
            <w:r>
              <w:rPr>
                <w:rFonts w:ascii="Arial" w:cs="Arial" w:eastAsia="Arial" w:hAnsi="Arial"/>
                <w:sz w:val="18"/>
                <w:szCs w:val="18"/>
                <w:i w:val="1"/>
                <w:iCs w:val="1"/>
                <w:color w:val="auto"/>
              </w:rPr>
              <w:t>16</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27,812</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26,409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Current taxes receivable</w:t>
            </w:r>
          </w:p>
        </w:tc>
        <w:tc>
          <w:tcPr>
            <w:tcW w:w="5500" w:type="dxa"/>
            <w:vAlign w:val="bottom"/>
          </w:tcPr>
          <w:p>
            <w:pPr>
              <w:spacing w:after="0"/>
              <w:rPr>
                <w:sz w:val="18"/>
                <w:szCs w:val="18"/>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b w:val="1"/>
                <w:bCs w:val="1"/>
                <w:color w:val="auto"/>
              </w:rPr>
              <w:t>28,006</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18,455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Current asset investments</w:t>
            </w:r>
          </w:p>
        </w:tc>
        <w:tc>
          <w:tcPr>
            <w:tcW w:w="5500" w:type="dxa"/>
            <w:vAlign w:val="bottom"/>
            <w:shd w:val="clear" w:color="auto" w:fill="CCEEFF"/>
          </w:tcPr>
          <w:p>
            <w:pPr>
              <w:jc w:val="right"/>
              <w:ind w:right="112"/>
              <w:spacing w:after="0"/>
              <w:rPr>
                <w:sz w:val="20"/>
                <w:szCs w:val="20"/>
                <w:color w:val="auto"/>
              </w:rPr>
            </w:pPr>
            <w:r>
              <w:rPr>
                <w:rFonts w:ascii="Arial" w:cs="Arial" w:eastAsia="Arial" w:hAnsi="Arial"/>
                <w:sz w:val="18"/>
                <w:szCs w:val="18"/>
                <w:i w:val="1"/>
                <w:iCs w:val="1"/>
                <w:color w:val="auto"/>
              </w:rPr>
              <w:t>17</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76,183</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54,940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55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i w:val="1"/>
                <w:iCs w:val="1"/>
                <w:color w:val="auto"/>
              </w:rPr>
              <w:t>18</w:t>
            </w:r>
          </w:p>
        </w:tc>
        <w:tc>
          <w:tcPr>
            <w:tcW w:w="1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114,047</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119,237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5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646,912</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550,016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5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1,205,173</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1,031,266</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28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5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Share capital</w:t>
            </w:r>
          </w:p>
        </w:tc>
        <w:tc>
          <w:tcPr>
            <w:tcW w:w="5500" w:type="dxa"/>
            <w:vAlign w:val="bottom"/>
          </w:tcPr>
          <w:p>
            <w:pPr>
              <w:jc w:val="right"/>
              <w:ind w:right="112"/>
              <w:spacing w:after="0"/>
              <w:rPr>
                <w:sz w:val="20"/>
                <w:szCs w:val="20"/>
                <w:color w:val="auto"/>
              </w:rPr>
            </w:pPr>
            <w:r>
              <w:rPr>
                <w:rFonts w:ascii="Arial" w:cs="Arial" w:eastAsia="Arial" w:hAnsi="Arial"/>
                <w:sz w:val="18"/>
                <w:szCs w:val="18"/>
                <w:i w:val="1"/>
                <w:iCs w:val="1"/>
                <w:color w:val="auto"/>
              </w:rPr>
              <w:t>23</w:t>
            </w:r>
          </w:p>
        </w:tc>
        <w:tc>
          <w:tcPr>
            <w:tcW w:w="1400" w:type="dxa"/>
            <w:vAlign w:val="bottom"/>
          </w:tcPr>
          <w:p>
            <w:pPr>
              <w:jc w:val="right"/>
              <w:ind w:right="132"/>
              <w:spacing w:after="0"/>
              <w:rPr>
                <w:sz w:val="20"/>
                <w:szCs w:val="20"/>
                <w:color w:val="auto"/>
              </w:rPr>
            </w:pPr>
            <w:r>
              <w:rPr>
                <w:rFonts w:ascii="Arial" w:cs="Arial" w:eastAsia="Arial" w:hAnsi="Arial"/>
                <w:sz w:val="18"/>
                <w:szCs w:val="18"/>
                <w:b w:val="1"/>
                <w:bCs w:val="1"/>
                <w:color w:val="auto"/>
              </w:rPr>
              <w:t>5,067</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Share premium</w:t>
            </w:r>
          </w:p>
        </w:tc>
        <w:tc>
          <w:tcPr>
            <w:tcW w:w="5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172,963</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160,090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Share based payment reserve</w:t>
            </w:r>
          </w:p>
        </w:tc>
        <w:tc>
          <w:tcPr>
            <w:tcW w:w="5500" w:type="dxa"/>
            <w:vAlign w:val="bottom"/>
          </w:tcPr>
          <w:p>
            <w:pPr>
              <w:jc w:val="right"/>
              <w:ind w:right="112"/>
              <w:spacing w:after="0"/>
              <w:rPr>
                <w:sz w:val="20"/>
                <w:szCs w:val="20"/>
                <w:color w:val="auto"/>
              </w:rPr>
            </w:pPr>
            <w:r>
              <w:rPr>
                <w:rFonts w:ascii="Arial" w:cs="Arial" w:eastAsia="Arial" w:hAnsi="Arial"/>
                <w:sz w:val="18"/>
                <w:szCs w:val="18"/>
                <w:i w:val="1"/>
                <w:iCs w:val="1"/>
                <w:color w:val="auto"/>
              </w:rPr>
              <w:t>24</w:t>
            </w:r>
          </w:p>
        </w:tc>
        <w:tc>
          <w:tcPr>
            <w:tcW w:w="1400" w:type="dxa"/>
            <w:vAlign w:val="bottom"/>
          </w:tcPr>
          <w:p>
            <w:pPr>
              <w:jc w:val="right"/>
              <w:ind w:right="132"/>
              <w:spacing w:after="0"/>
              <w:rPr>
                <w:sz w:val="20"/>
                <w:szCs w:val="20"/>
                <w:color w:val="auto"/>
              </w:rPr>
            </w:pPr>
            <w:r>
              <w:rPr>
                <w:rFonts w:ascii="Arial" w:cs="Arial" w:eastAsia="Arial" w:hAnsi="Arial"/>
                <w:sz w:val="18"/>
                <w:szCs w:val="18"/>
                <w:b w:val="1"/>
                <w:bCs w:val="1"/>
                <w:color w:val="auto"/>
              </w:rPr>
              <w:t>45,179</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39,429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Capital redemption reserve</w:t>
            </w:r>
          </w:p>
        </w:tc>
        <w:tc>
          <w:tcPr>
            <w:tcW w:w="5500" w:type="dxa"/>
            <w:vAlign w:val="bottom"/>
            <w:shd w:val="clear" w:color="auto" w:fill="CCEEFF"/>
          </w:tcPr>
          <w:p>
            <w:pPr>
              <w:jc w:val="right"/>
              <w:ind w:right="112"/>
              <w:spacing w:after="0"/>
              <w:rPr>
                <w:sz w:val="20"/>
                <w:szCs w:val="20"/>
                <w:color w:val="auto"/>
              </w:rPr>
            </w:pPr>
            <w:r>
              <w:rPr>
                <w:rFonts w:ascii="Arial" w:cs="Arial" w:eastAsia="Arial" w:hAnsi="Arial"/>
                <w:sz w:val="18"/>
                <w:szCs w:val="18"/>
                <w:i w:val="1"/>
                <w:iCs w:val="1"/>
                <w:color w:val="auto"/>
              </w:rPr>
              <w:t>24</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100</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 reserves</w:t>
            </w:r>
          </w:p>
        </w:tc>
        <w:tc>
          <w:tcPr>
            <w:tcW w:w="5500" w:type="dxa"/>
            <w:vAlign w:val="bottom"/>
          </w:tcPr>
          <w:p>
            <w:pPr>
              <w:jc w:val="right"/>
              <w:ind w:right="112"/>
              <w:spacing w:after="0"/>
              <w:rPr>
                <w:sz w:val="20"/>
                <w:szCs w:val="20"/>
                <w:color w:val="auto"/>
              </w:rPr>
            </w:pPr>
            <w:r>
              <w:rPr>
                <w:rFonts w:ascii="Arial" w:cs="Arial" w:eastAsia="Arial" w:hAnsi="Arial"/>
                <w:sz w:val="18"/>
                <w:szCs w:val="18"/>
                <w:i w:val="1"/>
                <w:iCs w:val="1"/>
                <w:color w:val="auto"/>
              </w:rPr>
              <w:t>24</w:t>
            </w:r>
          </w:p>
        </w:tc>
        <w:tc>
          <w:tcPr>
            <w:tcW w:w="1400" w:type="dxa"/>
            <w:vAlign w:val="bottom"/>
          </w:tcPr>
          <w:p>
            <w:pPr>
              <w:jc w:val="right"/>
              <w:ind w:right="132"/>
              <w:spacing w:after="0"/>
              <w:rPr>
                <w:sz w:val="20"/>
                <w:szCs w:val="20"/>
                <w:color w:val="auto"/>
              </w:rPr>
            </w:pPr>
            <w:r>
              <w:rPr>
                <w:rFonts w:ascii="Arial" w:cs="Arial" w:eastAsia="Arial" w:hAnsi="Arial"/>
                <w:sz w:val="18"/>
                <w:szCs w:val="18"/>
                <w:b w:val="1"/>
                <w:bCs w:val="1"/>
                <w:color w:val="auto"/>
              </w:rPr>
              <w:t>7,988</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7,422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reserve</w:t>
            </w:r>
          </w:p>
        </w:tc>
        <w:tc>
          <w:tcPr>
            <w:tcW w:w="5500" w:type="dxa"/>
            <w:vAlign w:val="bottom"/>
            <w:shd w:val="clear" w:color="auto" w:fill="CCEEFF"/>
          </w:tcPr>
          <w:p>
            <w:pPr>
              <w:jc w:val="right"/>
              <w:ind w:right="112"/>
              <w:spacing w:after="0"/>
              <w:rPr>
                <w:sz w:val="20"/>
                <w:szCs w:val="20"/>
                <w:color w:val="auto"/>
              </w:rPr>
            </w:pPr>
            <w:r>
              <w:rPr>
                <w:rFonts w:ascii="Arial" w:cs="Arial" w:eastAsia="Arial" w:hAnsi="Arial"/>
                <w:sz w:val="18"/>
                <w:szCs w:val="18"/>
                <w:i w:val="1"/>
                <w:iCs w:val="1"/>
                <w:color w:val="auto"/>
              </w:rPr>
              <w:t>24</w:t>
            </w: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(5,387)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2"/>
              </w:rPr>
              <w:t>Current asset investment - fair value reserve</w:t>
            </w:r>
          </w:p>
        </w:tc>
        <w:tc>
          <w:tcPr>
            <w:tcW w:w="5500" w:type="dxa"/>
            <w:vAlign w:val="bottom"/>
          </w:tcPr>
          <w:p>
            <w:pPr>
              <w:jc w:val="right"/>
              <w:ind w:right="112"/>
              <w:spacing w:after="0"/>
              <w:rPr>
                <w:sz w:val="20"/>
                <w:szCs w:val="20"/>
                <w:color w:val="auto"/>
              </w:rPr>
            </w:pPr>
            <w:r>
              <w:rPr>
                <w:rFonts w:ascii="Arial" w:cs="Arial" w:eastAsia="Arial" w:hAnsi="Arial"/>
                <w:sz w:val="18"/>
                <w:szCs w:val="18"/>
                <w:i w:val="1"/>
                <w:iCs w:val="1"/>
                <w:color w:val="auto"/>
              </w:rPr>
              <w:t>24</w:t>
            </w:r>
          </w:p>
        </w:tc>
        <w:tc>
          <w:tcPr>
            <w:tcW w:w="1400" w:type="dxa"/>
            <w:vAlign w:val="bottom"/>
          </w:tcPr>
          <w:p>
            <w:pPr>
              <w:jc w:val="right"/>
              <w:ind w:right="132"/>
              <w:spacing w:after="0"/>
              <w:rPr>
                <w:sz w:val="20"/>
                <w:szCs w:val="20"/>
                <w:color w:val="auto"/>
              </w:rPr>
            </w:pPr>
            <w:r>
              <w:rPr>
                <w:rFonts w:ascii="Arial" w:cs="Arial" w:eastAsia="Arial" w:hAnsi="Arial"/>
                <w:sz w:val="18"/>
                <w:szCs w:val="18"/>
                <w:b w:val="1"/>
                <w:bCs w:val="1"/>
                <w:color w:val="auto"/>
              </w:rPr>
              <w:t>239</w:t>
            </w:r>
          </w:p>
        </w:tc>
        <w:tc>
          <w:tcPr>
            <w:tcW w:w="122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55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i w:val="1"/>
                <w:iCs w:val="1"/>
                <w:color w:val="auto"/>
              </w:rPr>
              <w:t>24</w:t>
            </w: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540,292</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491,937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Total equity attributable to equity holders</w:t>
            </w:r>
          </w:p>
        </w:tc>
        <w:tc>
          <w:tcPr>
            <w:tcW w:w="5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766,441</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691,848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5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Non-current other liabilities</w:t>
            </w:r>
          </w:p>
        </w:tc>
        <w:tc>
          <w:tcPr>
            <w:tcW w:w="5500" w:type="dxa"/>
            <w:vAlign w:val="bottom"/>
          </w:tcPr>
          <w:p>
            <w:pPr>
              <w:jc w:val="right"/>
              <w:ind w:right="112"/>
              <w:spacing w:after="0"/>
              <w:rPr>
                <w:sz w:val="20"/>
                <w:szCs w:val="20"/>
                <w:color w:val="auto"/>
              </w:rPr>
            </w:pPr>
            <w:r>
              <w:rPr>
                <w:rFonts w:ascii="Arial" w:cs="Arial" w:eastAsia="Arial" w:hAnsi="Arial"/>
                <w:sz w:val="18"/>
                <w:szCs w:val="18"/>
                <w:i w:val="1"/>
                <w:iCs w:val="1"/>
                <w:color w:val="auto"/>
              </w:rPr>
              <w:t>19</w:t>
            </w:r>
          </w:p>
        </w:tc>
        <w:tc>
          <w:tcPr>
            <w:tcW w:w="1400" w:type="dxa"/>
            <w:vAlign w:val="bottom"/>
          </w:tcPr>
          <w:p>
            <w:pPr>
              <w:jc w:val="right"/>
              <w:ind w:right="132"/>
              <w:spacing w:after="0"/>
              <w:rPr>
                <w:sz w:val="20"/>
                <w:szCs w:val="20"/>
                <w:color w:val="auto"/>
              </w:rPr>
            </w:pPr>
            <w:r>
              <w:rPr>
                <w:rFonts w:ascii="Arial" w:cs="Arial" w:eastAsia="Arial" w:hAnsi="Arial"/>
                <w:sz w:val="18"/>
                <w:szCs w:val="18"/>
                <w:b w:val="1"/>
                <w:bCs w:val="1"/>
                <w:color w:val="auto"/>
              </w:rPr>
              <w:t>15,739</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9,486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Non-current provisions</w:t>
            </w:r>
          </w:p>
        </w:tc>
        <w:tc>
          <w:tcPr>
            <w:tcW w:w="5500" w:type="dxa"/>
            <w:vAlign w:val="bottom"/>
            <w:shd w:val="clear" w:color="auto" w:fill="CCEEFF"/>
          </w:tcPr>
          <w:p>
            <w:pPr>
              <w:jc w:val="right"/>
              <w:ind w:right="112"/>
              <w:spacing w:after="0"/>
              <w:rPr>
                <w:sz w:val="20"/>
                <w:szCs w:val="20"/>
                <w:color w:val="auto"/>
              </w:rPr>
            </w:pPr>
            <w:r>
              <w:rPr>
                <w:rFonts w:ascii="Arial" w:cs="Arial" w:eastAsia="Arial" w:hAnsi="Arial"/>
                <w:sz w:val="18"/>
                <w:szCs w:val="18"/>
                <w:i w:val="1"/>
                <w:iCs w:val="1"/>
                <w:color w:val="auto"/>
              </w:rPr>
              <w:t>20</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liabilities</w:t>
            </w:r>
          </w:p>
        </w:tc>
        <w:tc>
          <w:tcPr>
            <w:tcW w:w="55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i w:val="1"/>
                <w:iCs w:val="1"/>
                <w:color w:val="auto"/>
              </w:rPr>
              <w:t>5</w:t>
            </w:r>
          </w:p>
        </w:tc>
        <w:tc>
          <w:tcPr>
            <w:tcW w:w="1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4,062</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7,069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5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19,801</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28,458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5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Accounts payable</w:t>
            </w:r>
          </w:p>
        </w:tc>
        <w:tc>
          <w:tcPr>
            <w:tcW w:w="5500" w:type="dxa"/>
            <w:vAlign w:val="bottom"/>
          </w:tcPr>
          <w:p>
            <w:pPr>
              <w:spacing w:after="0"/>
              <w:rPr>
                <w:sz w:val="18"/>
                <w:szCs w:val="18"/>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b w:val="1"/>
                <w:bCs w:val="1"/>
                <w:color w:val="auto"/>
              </w:rPr>
              <w:t>8,149</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Payments on account</w:t>
            </w:r>
          </w:p>
        </w:tc>
        <w:tc>
          <w:tcPr>
            <w:tcW w:w="5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219,467</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150,792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Accrued and other liabilities</w:t>
            </w:r>
          </w:p>
        </w:tc>
        <w:tc>
          <w:tcPr>
            <w:tcW w:w="5500" w:type="dxa"/>
            <w:vAlign w:val="bottom"/>
          </w:tcPr>
          <w:p>
            <w:pPr>
              <w:jc w:val="right"/>
              <w:ind w:right="112"/>
              <w:spacing w:after="0"/>
              <w:rPr>
                <w:sz w:val="20"/>
                <w:szCs w:val="20"/>
                <w:color w:val="auto"/>
              </w:rPr>
            </w:pPr>
            <w:r>
              <w:rPr>
                <w:rFonts w:ascii="Arial" w:cs="Arial" w:eastAsia="Arial" w:hAnsi="Arial"/>
                <w:sz w:val="18"/>
                <w:szCs w:val="18"/>
                <w:i w:val="1"/>
                <w:iCs w:val="1"/>
                <w:color w:val="auto"/>
              </w:rPr>
              <w:t>19</w:t>
            </w:r>
          </w:p>
        </w:tc>
        <w:tc>
          <w:tcPr>
            <w:tcW w:w="1400" w:type="dxa"/>
            <w:vAlign w:val="bottom"/>
          </w:tcPr>
          <w:p>
            <w:pPr>
              <w:jc w:val="right"/>
              <w:ind w:right="132"/>
              <w:spacing w:after="0"/>
              <w:rPr>
                <w:sz w:val="20"/>
                <w:szCs w:val="20"/>
                <w:color w:val="auto"/>
              </w:rPr>
            </w:pPr>
            <w:r>
              <w:rPr>
                <w:rFonts w:ascii="Arial" w:cs="Arial" w:eastAsia="Arial" w:hAnsi="Arial"/>
                <w:sz w:val="18"/>
                <w:szCs w:val="18"/>
                <w:b w:val="1"/>
                <w:bCs w:val="1"/>
                <w:color w:val="auto"/>
              </w:rPr>
              <w:t>133,905</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104,478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5500" w:type="dxa"/>
            <w:vAlign w:val="bottom"/>
            <w:shd w:val="clear" w:color="auto" w:fill="CCEEFF"/>
          </w:tcPr>
          <w:p>
            <w:pPr>
              <w:jc w:val="right"/>
              <w:ind w:right="112"/>
              <w:spacing w:after="0"/>
              <w:rPr>
                <w:sz w:val="20"/>
                <w:szCs w:val="20"/>
                <w:color w:val="auto"/>
              </w:rPr>
            </w:pPr>
            <w:r>
              <w:rPr>
                <w:rFonts w:ascii="Arial" w:cs="Arial" w:eastAsia="Arial" w:hAnsi="Arial"/>
                <w:sz w:val="18"/>
                <w:szCs w:val="18"/>
                <w:i w:val="1"/>
                <w:iCs w:val="1"/>
                <w:color w:val="auto"/>
              </w:rPr>
              <w:t>20</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47,190</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41,489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tax payable</w:t>
            </w:r>
          </w:p>
        </w:tc>
        <w:tc>
          <w:tcPr>
            <w:tcW w:w="5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10,220</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8,861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5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418,931</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310,960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438,732</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339,418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55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1,205,173</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1,031,266</w:t>
            </w:r>
          </w:p>
        </w:tc>
        <w:tc>
          <w:tcPr>
            <w:tcW w:w="0" w:type="dxa"/>
            <w:vAlign w:val="bottom"/>
          </w:tcPr>
          <w:p>
            <w:pPr>
              <w:spacing w:after="0"/>
              <w:rPr>
                <w:sz w:val="1"/>
                <w:szCs w:val="1"/>
                <w:color w:val="auto"/>
              </w:rPr>
            </w:pPr>
          </w:p>
        </w:tc>
      </w:tr>
      <w:tr>
        <w:trPr>
          <w:trHeight w:val="443"/>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On behalf of the Board</w:t>
            </w:r>
          </w:p>
        </w:tc>
        <w:tc>
          <w:tcPr>
            <w:tcW w:w="5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300" w:type="dxa"/>
            <w:vAlign w:val="bottom"/>
            <w:gridSpan w:val="2"/>
          </w:tcPr>
          <w:p>
            <w:pPr>
              <w:spacing w:after="0"/>
              <w:rPr>
                <w:sz w:val="20"/>
                <w:szCs w:val="20"/>
                <w:color w:val="auto"/>
              </w:rPr>
            </w:pPr>
            <w:r>
              <w:rPr>
                <w:rFonts w:ascii="Arial" w:cs="Arial" w:eastAsia="Arial" w:hAnsi="Arial"/>
                <w:sz w:val="18"/>
                <w:szCs w:val="18"/>
                <w:color w:val="auto"/>
              </w:rPr>
              <w:t>Declan McKeon</w:t>
            </w:r>
          </w:p>
        </w:tc>
        <w:tc>
          <w:tcPr>
            <w:tcW w:w="5500" w:type="dxa"/>
            <w:vAlign w:val="bottom"/>
          </w:tcPr>
          <w:p>
            <w:pPr>
              <w:ind w:left="140"/>
              <w:spacing w:after="0"/>
              <w:rPr>
                <w:sz w:val="20"/>
                <w:szCs w:val="20"/>
                <w:color w:val="auto"/>
              </w:rPr>
            </w:pPr>
            <w:r>
              <w:rPr>
                <w:rFonts w:ascii="Arial" w:cs="Arial" w:eastAsia="Arial" w:hAnsi="Arial"/>
                <w:sz w:val="18"/>
                <w:szCs w:val="18"/>
                <w:color w:val="auto"/>
              </w:rPr>
              <w:t>Ciaran Murray</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5500" w:type="dxa"/>
            <w:vAlign w:val="bottom"/>
          </w:tcPr>
          <w:p>
            <w:pPr>
              <w:ind w:left="140"/>
              <w:spacing w:after="0"/>
              <w:rPr>
                <w:sz w:val="20"/>
                <w:szCs w:val="20"/>
                <w:color w:val="auto"/>
              </w:rPr>
            </w:pPr>
            <w:r>
              <w:rPr>
                <w:rFonts w:ascii="Arial" w:cs="Arial" w:eastAsia="Arial" w:hAnsi="Arial"/>
                <w:sz w:val="18"/>
                <w:szCs w:val="18"/>
                <w:i w:val="1"/>
                <w:iCs w:val="1"/>
                <w:color w:val="auto"/>
              </w:rPr>
              <w:t>Director</w:t>
            </w: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7"/>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500" w:type="dxa"/>
            <w:vAlign w:val="bottom"/>
          </w:tcPr>
          <w:p>
            <w:pPr>
              <w:jc w:val="right"/>
              <w:ind w:right="2912"/>
              <w:spacing w:after="0"/>
              <w:rPr>
                <w:sz w:val="20"/>
                <w:szCs w:val="20"/>
                <w:color w:val="auto"/>
              </w:rPr>
            </w:pPr>
            <w:r>
              <w:rPr>
                <w:rFonts w:ascii="Arial" w:cs="Arial" w:eastAsia="Arial" w:hAnsi="Arial"/>
                <w:sz w:val="18"/>
                <w:szCs w:val="18"/>
                <w:color w:val="auto"/>
              </w:rPr>
              <w:t>29</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55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Consolidated Statement of Changes in Equity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Current</w:t>
            </w: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Share</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Asset</w:t>
            </w: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rPr>
              <w:t>Number</w:t>
            </w:r>
          </w:p>
        </w:tc>
        <w:tc>
          <w:tcPr>
            <w:tcW w:w="760" w:type="dxa"/>
            <w:vAlign w:val="bottom"/>
          </w:tcPr>
          <w:p>
            <w:pPr>
              <w:jc w:val="right"/>
              <w:ind w:right="52"/>
              <w:spacing w:after="0"/>
              <w:rPr>
                <w:sz w:val="20"/>
                <w:szCs w:val="20"/>
                <w:color w:val="auto"/>
              </w:rPr>
            </w:pPr>
            <w:r>
              <w:rPr>
                <w:rFonts w:ascii="Arial" w:cs="Arial" w:eastAsia="Arial" w:hAnsi="Arial"/>
                <w:sz w:val="18"/>
                <w:szCs w:val="18"/>
                <w:b w:val="1"/>
                <w:bCs w:val="1"/>
                <w:color w:val="auto"/>
              </w:rPr>
              <w:t>Share</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Share</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Capital</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Based</w:t>
            </w: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Other</w:t>
            </w:r>
          </w:p>
        </w:tc>
        <w:tc>
          <w:tcPr>
            <w:tcW w:w="186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7"/>
              </w:rPr>
              <w:t>Currency Investment</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w w:val="97"/>
              </w:rPr>
              <w:t>Retained</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rPr>
              <w:t>of shares</w:t>
            </w:r>
          </w:p>
        </w:tc>
        <w:tc>
          <w:tcPr>
            <w:tcW w:w="760" w:type="dxa"/>
            <w:vAlign w:val="bottom"/>
          </w:tcPr>
          <w:p>
            <w:pPr>
              <w:jc w:val="right"/>
              <w:ind w:right="52"/>
              <w:spacing w:after="0"/>
              <w:rPr>
                <w:sz w:val="20"/>
                <w:szCs w:val="20"/>
                <w:color w:val="auto"/>
              </w:rPr>
            </w:pPr>
            <w:r>
              <w:rPr>
                <w:rFonts w:ascii="Arial" w:cs="Arial" w:eastAsia="Arial" w:hAnsi="Arial"/>
                <w:sz w:val="18"/>
                <w:szCs w:val="18"/>
                <w:b w:val="1"/>
                <w:bCs w:val="1"/>
                <w:color w:val="auto"/>
                <w:w w:val="99"/>
              </w:rPr>
              <w:t>Capital</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w w:val="96"/>
              </w:rPr>
              <w:t>Premium</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w w:val="89"/>
              </w:rPr>
              <w:t>Reserves</w:t>
            </w: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Reserve</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Fair</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w w:val="96"/>
              </w:rPr>
              <w:t>Earnings</w:t>
            </w: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w w:val="94"/>
              </w:rPr>
              <w:t>Redemption</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w w:val="98"/>
              </w:rPr>
              <w:t>Payment</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value</w:t>
            </w: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Reserve</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Reserve</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Reserve</w:t>
            </w: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$’000</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$’000</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$’000</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$’000</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1 January 2012</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0"/>
              </w:rPr>
              <w:t>60,135,603</w:t>
            </w: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5,055</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160,090</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39,429</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7,422</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(11,507)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491,937</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691,848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80" w:type="dxa"/>
            <w:vAlign w:val="bottom"/>
          </w:tcPr>
          <w:p>
            <w:pPr>
              <w:spacing w:after="0" w:line="194" w:lineRule="exact"/>
              <w:rPr>
                <w:sz w:val="20"/>
                <w:szCs w:val="20"/>
                <w:color w:val="auto"/>
              </w:rPr>
            </w:pPr>
            <w:r>
              <w:rPr>
                <w:rFonts w:ascii="Arial" w:cs="Arial" w:eastAsia="Arial" w:hAnsi="Arial"/>
                <w:sz w:val="18"/>
                <w:szCs w:val="18"/>
                <w:b w:val="1"/>
                <w:bCs w:val="1"/>
                <w:color w:val="auto"/>
                <w:w w:val="88"/>
              </w:rPr>
              <w:t>Total comprehensive income for</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the year:</w:t>
            </w: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58,346</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58,346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b w:val="1"/>
                <w:bCs w:val="1"/>
                <w:color w:val="auto"/>
                <w:w w:val="93"/>
              </w:rPr>
              <w:t>Other Comprehensive Income:</w:t>
            </w: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4,494</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tcPr>
          <w:p>
            <w:pPr>
              <w:spacing w:after="0" w:line="200" w:lineRule="exact"/>
              <w:rPr>
                <w:sz w:val="20"/>
                <w:szCs w:val="20"/>
                <w:color w:val="auto"/>
              </w:rPr>
            </w:pPr>
            <w:r>
              <w:rPr>
                <w:rFonts w:ascii="Arial" w:cs="Arial" w:eastAsia="Arial" w:hAnsi="Arial"/>
                <w:sz w:val="18"/>
                <w:szCs w:val="18"/>
                <w:color w:val="auto"/>
              </w:rPr>
              <w:t>Currency impact on long-term</w:t>
            </w: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500" w:type="dxa"/>
            <w:vAlign w:val="bottom"/>
            <w:gridSpan w:val="2"/>
          </w:tcPr>
          <w:p>
            <w:pPr>
              <w:spacing w:after="0"/>
              <w:rPr>
                <w:sz w:val="20"/>
                <w:szCs w:val="20"/>
                <w:color w:val="auto"/>
              </w:rPr>
            </w:pPr>
            <w:r>
              <w:rPr>
                <w:rFonts w:ascii="Arial" w:cs="Arial" w:eastAsia="Arial" w:hAnsi="Arial"/>
                <w:sz w:val="18"/>
                <w:szCs w:val="18"/>
                <w:color w:val="auto"/>
              </w:rPr>
              <w:t>funding</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1,982</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Tax on currency impact of long</w:t>
            </w: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term funding</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(356)</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tcPr>
          <w:p>
            <w:pPr>
              <w:spacing w:after="0" w:line="200" w:lineRule="exact"/>
              <w:rPr>
                <w:sz w:val="20"/>
                <w:szCs w:val="20"/>
                <w:color w:val="auto"/>
              </w:rPr>
            </w:pPr>
            <w:r>
              <w:rPr>
                <w:rFonts w:ascii="Arial" w:cs="Arial" w:eastAsia="Arial" w:hAnsi="Arial"/>
                <w:sz w:val="18"/>
                <w:szCs w:val="18"/>
                <w:color w:val="auto"/>
              </w:rPr>
              <w:t>Unrealised capital loss on</w:t>
            </w: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50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861</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Tax benefit excess on exercise of</w:t>
            </w: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1,274</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Employee benefits</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510</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Deferred tax movement on</w:t>
            </w: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unexercised options</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119</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Total other comprehensive income</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1,393</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6,120</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861</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510</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8,884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4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6"/>
              </w:rPr>
              <w:t>Total comprehensive income for</w:t>
            </w: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the year</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1,393</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6,120</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861</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58,856</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67,230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80" w:type="dxa"/>
            <w:vAlign w:val="bottom"/>
          </w:tcPr>
          <w:p>
            <w:pPr>
              <w:spacing w:after="0" w:line="194" w:lineRule="exact"/>
              <w:rPr>
                <w:sz w:val="20"/>
                <w:szCs w:val="20"/>
                <w:color w:val="auto"/>
              </w:rPr>
            </w:pPr>
            <w:r>
              <w:rPr>
                <w:rFonts w:ascii="Arial" w:cs="Arial" w:eastAsia="Arial" w:hAnsi="Arial"/>
                <w:sz w:val="18"/>
                <w:szCs w:val="18"/>
                <w:b w:val="1"/>
                <w:bCs w:val="1"/>
                <w:color w:val="auto"/>
              </w:rPr>
              <w:t>Transactions with owners,</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recorded directly in equity</w:t>
            </w: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10,217</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890,236</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68</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12,947</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13,015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Share issue costs</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9"/>
              </w:rPr>
              <w:t>Repurchase of ordinary shares</w:t>
            </w:r>
          </w:p>
        </w:tc>
        <w:tc>
          <w:tcPr>
            <w:tcW w:w="980" w:type="dxa"/>
            <w:vAlign w:val="bottom"/>
          </w:tcPr>
          <w:p>
            <w:pPr>
              <w:jc w:val="right"/>
              <w:spacing w:after="0"/>
              <w:rPr>
                <w:sz w:val="20"/>
                <w:szCs w:val="20"/>
                <w:color w:val="auto"/>
              </w:rPr>
            </w:pPr>
            <w:r>
              <w:rPr>
                <w:rFonts w:ascii="Arial" w:cs="Arial" w:eastAsia="Arial" w:hAnsi="Arial"/>
                <w:sz w:val="18"/>
                <w:szCs w:val="18"/>
                <w:color w:val="auto"/>
              </w:rPr>
              <w:t>(738,341)</w:t>
            </w: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(15,605)</w:t>
            </w:r>
          </w:p>
        </w:tc>
        <w:tc>
          <w:tcPr>
            <w:tcW w:w="740" w:type="dxa"/>
            <w:vAlign w:val="bottom"/>
          </w:tcPr>
          <w:p>
            <w:pPr>
              <w:jc w:val="right"/>
              <w:spacing w:after="0"/>
              <w:rPr>
                <w:sz w:val="20"/>
                <w:szCs w:val="20"/>
                <w:color w:val="auto"/>
              </w:rPr>
            </w:pPr>
            <w:r>
              <w:rPr>
                <w:rFonts w:ascii="Arial" w:cs="Arial" w:eastAsia="Arial" w:hAnsi="Arial"/>
                <w:sz w:val="18"/>
                <w:szCs w:val="18"/>
                <w:color w:val="auto"/>
              </w:rPr>
              <w:t>(15,605)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 costs</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tcPr>
          <w:p>
            <w:pPr>
              <w:spacing w:after="0" w:line="200" w:lineRule="exact"/>
              <w:rPr>
                <w:sz w:val="20"/>
                <w:szCs w:val="20"/>
                <w:color w:val="auto"/>
              </w:rPr>
            </w:pPr>
            <w:r>
              <w:rPr>
                <w:rFonts w:ascii="Arial" w:cs="Arial" w:eastAsia="Arial" w:hAnsi="Arial"/>
                <w:sz w:val="18"/>
                <w:szCs w:val="18"/>
                <w:color w:val="auto"/>
                <w:w w:val="91"/>
              </w:rPr>
              <w:t>Transfer of exercised and expired</w:t>
            </w: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500" w:type="dxa"/>
            <w:vAlign w:val="bottom"/>
            <w:gridSpan w:val="2"/>
          </w:tcPr>
          <w:p>
            <w:pPr>
              <w:spacing w:after="0"/>
              <w:rPr>
                <w:sz w:val="20"/>
                <w:szCs w:val="20"/>
                <w:color w:val="auto"/>
              </w:rPr>
            </w:pPr>
            <w:r>
              <w:rPr>
                <w:rFonts w:ascii="Arial" w:cs="Arial" w:eastAsia="Arial" w:hAnsi="Arial"/>
                <w:sz w:val="18"/>
                <w:szCs w:val="18"/>
                <w:color w:val="auto"/>
              </w:rPr>
              <w:t>share–based awards</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(5,860)</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5,860</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Non-distributable reserves</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566</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4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Total contributions by and</w:t>
            </w: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distributions to owners</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151,895</w:t>
            </w: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12,873</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4,357</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566</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(10,501)</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7,363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transactions with owners</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151,895</w:t>
            </w: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12,873</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4,357</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566</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(10,501)</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7,363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2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7"/>
              </w:rPr>
              <w:t>Balance at 31 December 2012</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0"/>
              </w:rPr>
              <w:t>60,287,498</w:t>
            </w: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5,067</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172,963</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100</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45,179</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7,988</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(5,387)</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239</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540,292</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5"/>
              </w:rPr>
              <w:t>766,441</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jc w:val="right"/>
              <w:ind w:right="332"/>
              <w:spacing w:after="0"/>
              <w:rPr>
                <w:sz w:val="20"/>
                <w:szCs w:val="20"/>
                <w:color w:val="auto"/>
              </w:rPr>
            </w:pPr>
            <w:r>
              <w:rPr>
                <w:rFonts w:ascii="Arial" w:cs="Arial" w:eastAsia="Arial" w:hAnsi="Arial"/>
                <w:sz w:val="18"/>
                <w:szCs w:val="18"/>
                <w:color w:val="auto"/>
              </w:rPr>
              <w:t>30</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Consolidated Statement of Changes in Equity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Current</w:t>
            </w: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Share</w:t>
            </w: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Asset</w:t>
            </w: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Number</w:t>
            </w:r>
          </w:p>
        </w:tc>
        <w:tc>
          <w:tcPr>
            <w:tcW w:w="760" w:type="dxa"/>
            <w:vAlign w:val="bottom"/>
          </w:tcPr>
          <w:p>
            <w:pPr>
              <w:jc w:val="right"/>
              <w:ind w:right="32"/>
              <w:spacing w:after="0"/>
              <w:rPr>
                <w:sz w:val="20"/>
                <w:szCs w:val="20"/>
                <w:color w:val="auto"/>
              </w:rPr>
            </w:pPr>
            <w:r>
              <w:rPr>
                <w:rFonts w:ascii="Arial" w:cs="Arial" w:eastAsia="Arial" w:hAnsi="Arial"/>
                <w:sz w:val="18"/>
                <w:szCs w:val="18"/>
                <w:b w:val="1"/>
                <w:bCs w:val="1"/>
                <w:color w:val="auto"/>
              </w:rPr>
              <w:t>Share</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Share</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Capital</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Based</w:t>
            </w: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Other</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Currency</w:t>
            </w: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w w:val="92"/>
              </w:rPr>
              <w:t>Investment</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w w:val="97"/>
              </w:rPr>
              <w:t>Retained</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of shares</w:t>
            </w:r>
          </w:p>
        </w:tc>
        <w:tc>
          <w:tcPr>
            <w:tcW w:w="760" w:type="dxa"/>
            <w:vAlign w:val="bottom"/>
          </w:tcPr>
          <w:p>
            <w:pPr>
              <w:jc w:val="right"/>
              <w:ind w:right="32"/>
              <w:spacing w:after="0"/>
              <w:rPr>
                <w:sz w:val="20"/>
                <w:szCs w:val="20"/>
                <w:color w:val="auto"/>
              </w:rPr>
            </w:pPr>
            <w:r>
              <w:rPr>
                <w:rFonts w:ascii="Arial" w:cs="Arial" w:eastAsia="Arial" w:hAnsi="Arial"/>
                <w:sz w:val="18"/>
                <w:szCs w:val="18"/>
                <w:b w:val="1"/>
                <w:bCs w:val="1"/>
                <w:color w:val="auto"/>
              </w:rPr>
              <w:t>Capital</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w w:val="98"/>
              </w:rPr>
              <w:t>Premium</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4"/>
              </w:rPr>
              <w:t>Redemption</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Payment</w:t>
            </w: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w w:val="89"/>
              </w:rPr>
              <w:t>Reserves</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Reserve</w:t>
            </w: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Fair value</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w w:val="96"/>
              </w:rPr>
              <w:t>Earnings</w:t>
            </w: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Reserve</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Reserve</w:t>
            </w: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Reserve</w:t>
            </w: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$’000</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1 January 2011</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0"/>
              </w:rPr>
              <w:t>60,247,092</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5,063</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155,537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31,478</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7,422</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349</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483,896</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683,745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Pr>
          <w:p>
            <w:pPr>
              <w:spacing w:after="0" w:line="194" w:lineRule="exact"/>
              <w:rPr>
                <w:sz w:val="20"/>
                <w:szCs w:val="20"/>
                <w:color w:val="auto"/>
              </w:rPr>
            </w:pPr>
            <w:r>
              <w:rPr>
                <w:rFonts w:ascii="Arial" w:cs="Arial" w:eastAsia="Arial" w:hAnsi="Arial"/>
                <w:sz w:val="18"/>
                <w:szCs w:val="18"/>
                <w:b w:val="1"/>
                <w:bCs w:val="1"/>
                <w:color w:val="auto"/>
                <w:w w:val="95"/>
              </w:rPr>
              <w:t>Total comprehensive income</w:t>
            </w: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for the year:</w:t>
            </w: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19,230</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b w:val="1"/>
                <w:bCs w:val="1"/>
                <w:color w:val="auto"/>
                <w:w w:val="90"/>
              </w:rPr>
              <w:t>Other Comprehensive Income:</w:t>
            </w: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(11,348)</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80" w:type="dxa"/>
            <w:vAlign w:val="bottom"/>
          </w:tcPr>
          <w:p>
            <w:pPr>
              <w:spacing w:after="0" w:line="200" w:lineRule="exact"/>
              <w:rPr>
                <w:sz w:val="20"/>
                <w:szCs w:val="20"/>
                <w:color w:val="auto"/>
              </w:rPr>
            </w:pPr>
            <w:r>
              <w:rPr>
                <w:rFonts w:ascii="Arial" w:cs="Arial" w:eastAsia="Arial" w:hAnsi="Arial"/>
                <w:sz w:val="18"/>
                <w:szCs w:val="18"/>
                <w:color w:val="auto"/>
                <w:w w:val="99"/>
              </w:rPr>
              <w:t>Currency impact on long-term</w:t>
            </w: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00" w:type="dxa"/>
            <w:vAlign w:val="bottom"/>
            <w:gridSpan w:val="2"/>
          </w:tcPr>
          <w:p>
            <w:pPr>
              <w:spacing w:after="0"/>
              <w:rPr>
                <w:sz w:val="20"/>
                <w:szCs w:val="20"/>
                <w:color w:val="auto"/>
              </w:rPr>
            </w:pPr>
            <w:r>
              <w:rPr>
                <w:rFonts w:ascii="Arial" w:cs="Arial" w:eastAsia="Arial" w:hAnsi="Arial"/>
                <w:sz w:val="18"/>
                <w:szCs w:val="18"/>
                <w:color w:val="auto"/>
              </w:rPr>
              <w:t>funding</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(802)</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Tax on currency impact of long</w:t>
            </w:r>
          </w:p>
        </w:tc>
        <w:tc>
          <w:tcPr>
            <w:tcW w:w="9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term funding</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294</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80" w:type="dxa"/>
            <w:vAlign w:val="bottom"/>
          </w:tcPr>
          <w:p>
            <w:pPr>
              <w:spacing w:after="0" w:line="200" w:lineRule="exact"/>
              <w:rPr>
                <w:sz w:val="20"/>
                <w:szCs w:val="20"/>
                <w:color w:val="auto"/>
              </w:rPr>
            </w:pPr>
            <w:r>
              <w:rPr>
                <w:rFonts w:ascii="Arial" w:cs="Arial" w:eastAsia="Arial" w:hAnsi="Arial"/>
                <w:sz w:val="18"/>
                <w:szCs w:val="18"/>
                <w:color w:val="auto"/>
              </w:rPr>
              <w:t>Unrealised capital loss on</w:t>
            </w: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0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(622)</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8"/>
              </w:rPr>
              <w:t>Tax benefit excess on exercise of</w:t>
            </w:r>
          </w:p>
        </w:tc>
        <w:tc>
          <w:tcPr>
            <w:tcW w:w="9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681</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Employee benefits</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380" w:type="dxa"/>
            <w:vAlign w:val="bottom"/>
          </w:tcPr>
          <w:p>
            <w:pPr>
              <w:spacing w:after="0" w:line="200" w:lineRule="exact"/>
              <w:rPr>
                <w:sz w:val="20"/>
                <w:szCs w:val="20"/>
                <w:color w:val="auto"/>
              </w:rPr>
            </w:pPr>
            <w:r>
              <w:rPr>
                <w:rFonts w:ascii="Arial" w:cs="Arial" w:eastAsia="Arial" w:hAnsi="Arial"/>
                <w:sz w:val="18"/>
                <w:szCs w:val="18"/>
                <w:color w:val="auto"/>
              </w:rPr>
              <w:t>Total other comprehensive</w:t>
            </w: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400" w:type="dxa"/>
            <w:vAlign w:val="bottom"/>
            <w:gridSpan w:val="2"/>
          </w:tcPr>
          <w:p>
            <w:pPr>
              <w:spacing w:after="0"/>
              <w:rPr>
                <w:sz w:val="20"/>
                <w:szCs w:val="20"/>
                <w:color w:val="auto"/>
              </w:rPr>
            </w:pPr>
            <w:r>
              <w:rPr>
                <w:rFonts w:ascii="Arial" w:cs="Arial" w:eastAsia="Arial" w:hAnsi="Arial"/>
                <w:sz w:val="18"/>
                <w:szCs w:val="18"/>
                <w:color w:val="auto"/>
              </w:rPr>
              <w:t>income</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681</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(11,856)</w:t>
            </w:r>
          </w:p>
        </w:tc>
        <w:tc>
          <w:tcPr>
            <w:tcW w:w="1020" w:type="dxa"/>
            <w:vAlign w:val="bottom"/>
          </w:tcPr>
          <w:p>
            <w:pPr>
              <w:jc w:val="right"/>
              <w:spacing w:after="0"/>
              <w:rPr>
                <w:sz w:val="20"/>
                <w:szCs w:val="20"/>
                <w:color w:val="auto"/>
              </w:rPr>
            </w:pPr>
            <w:r>
              <w:rPr>
                <w:rFonts w:ascii="Arial" w:cs="Arial" w:eastAsia="Arial" w:hAnsi="Arial"/>
                <w:sz w:val="18"/>
                <w:szCs w:val="18"/>
                <w:color w:val="auto"/>
              </w:rPr>
              <w:t>(622)</w:t>
            </w:r>
          </w:p>
        </w:tc>
        <w:tc>
          <w:tcPr>
            <w:tcW w:w="880" w:type="dxa"/>
            <w:vAlign w:val="bottom"/>
          </w:tcPr>
          <w:p>
            <w:pPr>
              <w:jc w:val="right"/>
              <w:spacing w:after="0"/>
              <w:rPr>
                <w:sz w:val="20"/>
                <w:szCs w:val="20"/>
                <w:color w:val="auto"/>
              </w:rPr>
            </w:pPr>
            <w:r>
              <w:rPr>
                <w:rFonts w:ascii="Arial" w:cs="Arial" w:eastAsia="Arial" w:hAnsi="Arial"/>
                <w:sz w:val="18"/>
                <w:szCs w:val="18"/>
                <w:color w:val="auto"/>
              </w:rPr>
              <w:t>(4,365)</w:t>
            </w:r>
          </w:p>
        </w:tc>
        <w:tc>
          <w:tcPr>
            <w:tcW w:w="740" w:type="dxa"/>
            <w:vAlign w:val="bottom"/>
          </w:tcPr>
          <w:p>
            <w:pPr>
              <w:jc w:val="right"/>
              <w:spacing w:after="0"/>
              <w:rPr>
                <w:sz w:val="20"/>
                <w:szCs w:val="20"/>
                <w:color w:val="auto"/>
              </w:rPr>
            </w:pPr>
            <w:r>
              <w:rPr>
                <w:rFonts w:ascii="Arial" w:cs="Arial" w:eastAsia="Arial" w:hAnsi="Arial"/>
                <w:sz w:val="18"/>
                <w:szCs w:val="18"/>
                <w:color w:val="auto"/>
              </w:rPr>
              <w:t>(16,162)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380" w:type="dxa"/>
            <w:vAlign w:val="bottom"/>
          </w:tcPr>
          <w:p>
            <w:pPr>
              <w:spacing w:after="0" w:line="200" w:lineRule="exact"/>
              <w:rPr>
                <w:sz w:val="20"/>
                <w:szCs w:val="20"/>
                <w:color w:val="auto"/>
              </w:rPr>
            </w:pPr>
            <w:r>
              <w:rPr>
                <w:rFonts w:ascii="Arial" w:cs="Arial" w:eastAsia="Arial" w:hAnsi="Arial"/>
                <w:sz w:val="18"/>
                <w:szCs w:val="18"/>
                <w:color w:val="auto"/>
                <w:w w:val="92"/>
              </w:rPr>
              <w:t>Total comprehensive income for</w:t>
            </w: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400" w:type="dxa"/>
            <w:vAlign w:val="bottom"/>
            <w:gridSpan w:val="2"/>
          </w:tcPr>
          <w:p>
            <w:pPr>
              <w:spacing w:after="0"/>
              <w:rPr>
                <w:sz w:val="20"/>
                <w:szCs w:val="20"/>
                <w:color w:val="auto"/>
              </w:rPr>
            </w:pPr>
            <w:r>
              <w:rPr>
                <w:rFonts w:ascii="Arial" w:cs="Arial" w:eastAsia="Arial" w:hAnsi="Arial"/>
                <w:sz w:val="18"/>
                <w:szCs w:val="18"/>
                <w:color w:val="auto"/>
              </w:rPr>
              <w:t>the year</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681</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(11,856)</w:t>
            </w:r>
          </w:p>
        </w:tc>
        <w:tc>
          <w:tcPr>
            <w:tcW w:w="1020" w:type="dxa"/>
            <w:vAlign w:val="bottom"/>
          </w:tcPr>
          <w:p>
            <w:pPr>
              <w:jc w:val="right"/>
              <w:spacing w:after="0"/>
              <w:rPr>
                <w:sz w:val="20"/>
                <w:szCs w:val="20"/>
                <w:color w:val="auto"/>
              </w:rPr>
            </w:pPr>
            <w:r>
              <w:rPr>
                <w:rFonts w:ascii="Arial" w:cs="Arial" w:eastAsia="Arial" w:hAnsi="Arial"/>
                <w:sz w:val="18"/>
                <w:szCs w:val="18"/>
                <w:color w:val="auto"/>
              </w:rPr>
              <w:t>(622)</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14,865</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Transactions with owners,</w:t>
            </w:r>
          </w:p>
        </w:tc>
        <w:tc>
          <w:tcPr>
            <w:tcW w:w="9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recorded directly in equity</w:t>
            </w:r>
          </w:p>
        </w:tc>
        <w:tc>
          <w:tcPr>
            <w:tcW w:w="9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Share-based payment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9,564</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9,564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430,340</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4,629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4,665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80" w:type="dxa"/>
            <w:vAlign w:val="bottom"/>
          </w:tcPr>
          <w:p>
            <w:pPr>
              <w:spacing w:after="0" w:line="200" w:lineRule="exact"/>
              <w:rPr>
                <w:sz w:val="20"/>
                <w:szCs w:val="20"/>
                <w:color w:val="auto"/>
              </w:rPr>
            </w:pPr>
            <w:r>
              <w:rPr>
                <w:rFonts w:ascii="Arial" w:cs="Arial" w:eastAsia="Arial" w:hAnsi="Arial"/>
                <w:sz w:val="18"/>
                <w:szCs w:val="18"/>
                <w:color w:val="auto"/>
              </w:rPr>
              <w:t>Issue of shares arising from</w:t>
            </w: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00" w:type="dxa"/>
            <w:vAlign w:val="bottom"/>
            <w:gridSpan w:val="2"/>
          </w:tcPr>
          <w:p>
            <w:pPr>
              <w:spacing w:after="0"/>
              <w:rPr>
                <w:sz w:val="20"/>
                <w:szCs w:val="20"/>
                <w:color w:val="auto"/>
              </w:rPr>
            </w:pPr>
            <w:r>
              <w:rPr>
                <w:rFonts w:ascii="Arial" w:cs="Arial" w:eastAsia="Arial" w:hAnsi="Arial"/>
                <w:sz w:val="18"/>
                <w:szCs w:val="18"/>
                <w:color w:val="auto"/>
              </w:rPr>
              <w:t>issue of restricted share units</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3,768</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Share issue costs</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w w:val="95"/>
              </w:rPr>
              <w:t>Repurchase of ordinary shares</w:t>
            </w:r>
          </w:p>
        </w:tc>
        <w:tc>
          <w:tcPr>
            <w:tcW w:w="960" w:type="dxa"/>
            <w:vAlign w:val="bottom"/>
          </w:tcPr>
          <w:p>
            <w:pPr>
              <w:jc w:val="right"/>
              <w:spacing w:after="0"/>
              <w:rPr>
                <w:sz w:val="20"/>
                <w:szCs w:val="20"/>
                <w:color w:val="auto"/>
              </w:rPr>
            </w:pPr>
            <w:r>
              <w:rPr>
                <w:rFonts w:ascii="Arial" w:cs="Arial" w:eastAsia="Arial" w:hAnsi="Arial"/>
                <w:sz w:val="18"/>
                <w:szCs w:val="18"/>
                <w:color w:val="auto"/>
              </w:rPr>
              <w:t>(545,597)</w:t>
            </w: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(9,005)</w:t>
            </w:r>
          </w:p>
        </w:tc>
        <w:tc>
          <w:tcPr>
            <w:tcW w:w="740" w:type="dxa"/>
            <w:vAlign w:val="bottom"/>
          </w:tcPr>
          <w:p>
            <w:pPr>
              <w:jc w:val="right"/>
              <w:spacing w:after="0"/>
              <w:rPr>
                <w:sz w:val="20"/>
                <w:szCs w:val="20"/>
                <w:color w:val="auto"/>
              </w:rPr>
            </w:pPr>
            <w:r>
              <w:rPr>
                <w:rFonts w:ascii="Arial" w:cs="Arial" w:eastAsia="Arial" w:hAnsi="Arial"/>
                <w:sz w:val="18"/>
                <w:szCs w:val="18"/>
                <w:color w:val="auto"/>
              </w:rPr>
              <w:t>(9,005)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 costs</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3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Transfer of exercised and</w:t>
            </w:r>
          </w:p>
        </w:tc>
        <w:tc>
          <w:tcPr>
            <w:tcW w:w="9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expired share–based awards</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2,294</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3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Total contributions by and</w:t>
            </w:r>
          </w:p>
        </w:tc>
        <w:tc>
          <w:tcPr>
            <w:tcW w:w="9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distributions to owners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(111,489)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4,553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7,270</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(6,824)</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Total transactions with owners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(111,489)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4,553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7,270</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(6,824)</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3"/>
              </w:rPr>
              <w:t>Balance at 31 December 2011</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90"/>
              </w:rPr>
              <w:t>60,135,603</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5,055</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160,090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39,429</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7,422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(11,507)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(622)</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491,937</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5"/>
              </w:rPr>
              <w:t>691,848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gridSpan w:val="4"/>
          </w:tcPr>
          <w:p>
            <w:pPr>
              <w:spacing w:after="0"/>
              <w:rPr>
                <w:sz w:val="20"/>
                <w:szCs w:val="20"/>
                <w:color w:val="auto"/>
              </w:rPr>
            </w:pPr>
            <w:r>
              <w:rPr>
                <w:rFonts w:ascii="Arial" w:cs="Arial" w:eastAsia="Arial" w:hAnsi="Arial"/>
                <w:sz w:val="18"/>
                <w:szCs w:val="18"/>
                <w:i w:val="1"/>
                <w:iCs w:val="1"/>
                <w:color w:val="auto"/>
              </w:rPr>
              <w:t>Further details of the reserves above are detailed in note 24</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4"/>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31</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Consolidated Statement of Cash Flows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540" w:type="dxa"/>
            <w:vAlign w:val="bottom"/>
          </w:tcPr>
          <w:p>
            <w:pPr>
              <w:ind w:left="780"/>
              <w:spacing w:after="0"/>
              <w:rPr>
                <w:sz w:val="20"/>
                <w:szCs w:val="20"/>
                <w:color w:val="auto"/>
              </w:rPr>
            </w:pPr>
            <w:r>
              <w:rPr>
                <w:rFonts w:ascii="Arial" w:cs="Arial" w:eastAsia="Arial" w:hAnsi="Arial"/>
                <w:sz w:val="18"/>
                <w:szCs w:val="18"/>
                <w:b w:val="1"/>
                <w:bCs w:val="1"/>
                <w:i w:val="1"/>
                <w:iCs w:val="1"/>
                <w:color w:val="auto"/>
              </w:rPr>
              <w:t>Note</w:t>
            </w: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Year ended</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2"/>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Profit for the financial year</w:t>
            </w:r>
          </w:p>
        </w:tc>
        <w:tc>
          <w:tcPr>
            <w:tcW w:w="154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58,346</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19,230</w:t>
            </w:r>
          </w:p>
        </w:tc>
        <w:tc>
          <w:tcPr>
            <w:tcW w:w="0" w:type="dxa"/>
            <w:vAlign w:val="bottom"/>
          </w:tcPr>
          <w:p>
            <w:pPr>
              <w:spacing w:after="0"/>
              <w:rPr>
                <w:sz w:val="1"/>
                <w:szCs w:val="1"/>
                <w:color w:val="auto"/>
              </w:rPr>
            </w:pPr>
          </w:p>
        </w:tc>
      </w:tr>
      <w:tr>
        <w:trPr>
          <w:trHeight w:val="229"/>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w w:val="97"/>
              </w:rPr>
              <w:t>Adjustments to reconcile net income to net cash generated from operating activities</w:t>
            </w:r>
          </w:p>
        </w:tc>
        <w:tc>
          <w:tcPr>
            <w:tcW w:w="1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plant and equipment</w:t>
            </w: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233</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Depreciation</w:t>
            </w:r>
          </w:p>
        </w:tc>
        <w:tc>
          <w:tcPr>
            <w:tcW w:w="1540" w:type="dxa"/>
            <w:vAlign w:val="bottom"/>
          </w:tcPr>
          <w:p>
            <w:pPr>
              <w:jc w:val="center"/>
              <w:ind w:left="412"/>
              <w:spacing w:after="0"/>
              <w:rPr>
                <w:sz w:val="20"/>
                <w:szCs w:val="20"/>
                <w:color w:val="auto"/>
              </w:rPr>
            </w:pPr>
            <w:r>
              <w:rPr>
                <w:rFonts w:ascii="Arial" w:cs="Arial" w:eastAsia="Arial" w:hAnsi="Arial"/>
                <w:sz w:val="18"/>
                <w:szCs w:val="18"/>
                <w:i w:val="1"/>
                <w:iCs w:val="1"/>
                <w:color w:val="auto"/>
                <w:w w:val="79"/>
              </w:rPr>
              <w:t>11</w:t>
            </w: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21,831</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23,169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Amortisation of intangible assets</w:t>
            </w:r>
          </w:p>
        </w:tc>
        <w:tc>
          <w:tcPr>
            <w:tcW w:w="1540" w:type="dxa"/>
            <w:vAlign w:val="bottom"/>
            <w:shd w:val="clear" w:color="auto" w:fill="CCEEFF"/>
          </w:tcPr>
          <w:p>
            <w:pPr>
              <w:jc w:val="center"/>
              <w:ind w:left="412"/>
              <w:spacing w:after="0"/>
              <w:rPr>
                <w:sz w:val="20"/>
                <w:szCs w:val="20"/>
                <w:color w:val="auto"/>
              </w:rPr>
            </w:pPr>
            <w:r>
              <w:rPr>
                <w:rFonts w:ascii="Arial" w:cs="Arial" w:eastAsia="Arial" w:hAnsi="Arial"/>
                <w:sz w:val="18"/>
                <w:szCs w:val="18"/>
                <w:i w:val="1"/>
                <w:iCs w:val="1"/>
                <w:color w:val="auto"/>
                <w:w w:val="79"/>
              </w:rPr>
              <w:t>12</w:t>
            </w: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20,992</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Amortisation of grants</w:t>
            </w:r>
          </w:p>
        </w:tc>
        <w:tc>
          <w:tcPr>
            <w:tcW w:w="1540" w:type="dxa"/>
            <w:vAlign w:val="bottom"/>
          </w:tcPr>
          <w:p>
            <w:pPr>
              <w:spacing w:after="0"/>
              <w:rPr>
                <w:sz w:val="18"/>
                <w:szCs w:val="18"/>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b w:val="1"/>
                <w:bCs w:val="1"/>
                <w:color w:val="auto"/>
              </w:rPr>
              <w:t>(154)</w:t>
            </w:r>
          </w:p>
        </w:tc>
        <w:tc>
          <w:tcPr>
            <w:tcW w:w="122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1540" w:type="dxa"/>
            <w:vAlign w:val="bottom"/>
            <w:shd w:val="clear" w:color="auto" w:fill="CCEEFF"/>
          </w:tcPr>
          <w:p>
            <w:pPr>
              <w:jc w:val="center"/>
              <w:ind w:left="412"/>
              <w:spacing w:after="0"/>
              <w:rPr>
                <w:sz w:val="20"/>
                <w:szCs w:val="20"/>
                <w:color w:val="auto"/>
              </w:rPr>
            </w:pPr>
            <w:r>
              <w:rPr>
                <w:rFonts w:ascii="Arial" w:cs="Arial" w:eastAsia="Arial" w:hAnsi="Arial"/>
                <w:sz w:val="18"/>
                <w:szCs w:val="18"/>
                <w:i w:val="1"/>
                <w:iCs w:val="1"/>
                <w:color w:val="auto"/>
                <w:w w:val="79"/>
              </w:rPr>
              <w:t>10</w:t>
            </w: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10,217</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Financing income</w:t>
            </w:r>
          </w:p>
        </w:tc>
        <w:tc>
          <w:tcPr>
            <w:tcW w:w="1540" w:type="dxa"/>
            <w:vAlign w:val="bottom"/>
          </w:tcPr>
          <w:p>
            <w:pPr>
              <w:jc w:val="center"/>
              <w:ind w:left="412"/>
              <w:spacing w:after="0"/>
              <w:rPr>
                <w:sz w:val="20"/>
                <w:szCs w:val="20"/>
                <w:color w:val="auto"/>
              </w:rPr>
            </w:pPr>
            <w:r>
              <w:rPr>
                <w:rFonts w:ascii="Arial" w:cs="Arial" w:eastAsia="Arial" w:hAnsi="Arial"/>
                <w:sz w:val="18"/>
                <w:szCs w:val="18"/>
                <w:i w:val="1"/>
                <w:iCs w:val="1"/>
                <w:color w:val="auto"/>
                <w:w w:val="79"/>
              </w:rPr>
              <w:t>3</w:t>
            </w:r>
          </w:p>
        </w:tc>
        <w:tc>
          <w:tcPr>
            <w:tcW w:w="1600" w:type="dxa"/>
            <w:vAlign w:val="bottom"/>
          </w:tcPr>
          <w:p>
            <w:pPr>
              <w:jc w:val="right"/>
              <w:ind w:right="72"/>
              <w:spacing w:after="0"/>
              <w:rPr>
                <w:sz w:val="20"/>
                <w:szCs w:val="20"/>
                <w:color w:val="auto"/>
              </w:rPr>
            </w:pPr>
            <w:r>
              <w:rPr>
                <w:rFonts w:ascii="Arial" w:cs="Arial" w:eastAsia="Arial" w:hAnsi="Arial"/>
                <w:sz w:val="18"/>
                <w:szCs w:val="18"/>
                <w:b w:val="1"/>
                <w:bCs w:val="1"/>
                <w:color w:val="auto"/>
              </w:rPr>
              <w:t>(2,046)</w:t>
            </w:r>
          </w:p>
        </w:tc>
        <w:tc>
          <w:tcPr>
            <w:tcW w:w="1220" w:type="dxa"/>
            <w:vAlign w:val="bottom"/>
          </w:tcPr>
          <w:p>
            <w:pPr>
              <w:jc w:val="right"/>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w:t>
            </w:r>
          </w:p>
        </w:tc>
        <w:tc>
          <w:tcPr>
            <w:tcW w:w="1540" w:type="dxa"/>
            <w:vAlign w:val="bottom"/>
            <w:shd w:val="clear" w:color="auto" w:fill="CCEEFF"/>
          </w:tcPr>
          <w:p>
            <w:pPr>
              <w:jc w:val="center"/>
              <w:ind w:left="412"/>
              <w:spacing w:after="0"/>
              <w:rPr>
                <w:sz w:val="20"/>
                <w:szCs w:val="20"/>
                <w:color w:val="auto"/>
              </w:rPr>
            </w:pPr>
            <w:r>
              <w:rPr>
                <w:rFonts w:ascii="Arial" w:cs="Arial" w:eastAsia="Arial" w:hAnsi="Arial"/>
                <w:sz w:val="18"/>
                <w:szCs w:val="18"/>
                <w:i w:val="1"/>
                <w:iCs w:val="1"/>
                <w:color w:val="auto"/>
                <w:w w:val="79"/>
              </w:rPr>
              <w:t>4</w:t>
            </w: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2,911</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Defined benefit pension service costs</w:t>
            </w:r>
          </w:p>
        </w:tc>
        <w:tc>
          <w:tcPr>
            <w:tcW w:w="1540" w:type="dxa"/>
            <w:vAlign w:val="bottom"/>
          </w:tcPr>
          <w:p>
            <w:pPr>
              <w:jc w:val="center"/>
              <w:ind w:left="412"/>
              <w:spacing w:after="0"/>
              <w:rPr>
                <w:sz w:val="20"/>
                <w:szCs w:val="20"/>
                <w:color w:val="auto"/>
              </w:rPr>
            </w:pPr>
            <w:r>
              <w:rPr>
                <w:rFonts w:ascii="Arial" w:cs="Arial" w:eastAsia="Arial" w:hAnsi="Arial"/>
                <w:sz w:val="18"/>
                <w:szCs w:val="18"/>
                <w:i w:val="1"/>
                <w:iCs w:val="1"/>
                <w:color w:val="auto"/>
                <w:w w:val="79"/>
              </w:rPr>
              <w:t>9</w:t>
            </w: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242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540" w:type="dxa"/>
            <w:vAlign w:val="bottom"/>
            <w:tcBorders>
              <w:bottom w:val="single" w:sz="8" w:color="auto"/>
            </w:tcBorders>
            <w:shd w:val="clear" w:color="auto" w:fill="CCEEFF"/>
          </w:tcPr>
          <w:p>
            <w:pPr>
              <w:jc w:val="center"/>
              <w:ind w:left="412"/>
              <w:spacing w:after="0"/>
              <w:rPr>
                <w:sz w:val="20"/>
                <w:szCs w:val="20"/>
                <w:color w:val="auto"/>
              </w:rPr>
            </w:pPr>
            <w:r>
              <w:rPr>
                <w:rFonts w:ascii="Arial" w:cs="Arial" w:eastAsia="Arial" w:hAnsi="Arial"/>
                <w:sz w:val="18"/>
                <w:szCs w:val="18"/>
                <w:i w:val="1"/>
                <w:iCs w:val="1"/>
                <w:color w:val="auto"/>
                <w:w w:val="79"/>
              </w:rPr>
              <w:t>5</w:t>
            </w:r>
          </w:p>
        </w:tc>
        <w:tc>
          <w:tcPr>
            <w:tcW w:w="16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10,358</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Operating cash inflow before changes in working capital</w:t>
            </w:r>
          </w:p>
        </w:tc>
        <w:tc>
          <w:tcPr>
            <w:tcW w:w="154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122,930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77,502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Increase in accounts receivable</w:t>
            </w:r>
          </w:p>
        </w:tc>
        <w:tc>
          <w:tcPr>
            <w:tcW w:w="1540" w:type="dxa"/>
            <w:vAlign w:val="bottom"/>
          </w:tcPr>
          <w:p>
            <w:pPr>
              <w:spacing w:after="0"/>
              <w:rPr>
                <w:sz w:val="18"/>
                <w:szCs w:val="18"/>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b w:val="1"/>
                <w:bCs w:val="1"/>
                <w:color w:val="auto"/>
              </w:rPr>
              <w:t>(79,157)</w:t>
            </w:r>
          </w:p>
        </w:tc>
        <w:tc>
          <w:tcPr>
            <w:tcW w:w="1220" w:type="dxa"/>
            <w:vAlign w:val="bottom"/>
          </w:tcPr>
          <w:p>
            <w:pPr>
              <w:jc w:val="right"/>
              <w:spacing w:after="0"/>
              <w:rPr>
                <w:sz w:val="20"/>
                <w:szCs w:val="20"/>
                <w:color w:val="auto"/>
              </w:rPr>
            </w:pPr>
            <w:r>
              <w:rPr>
                <w:rFonts w:ascii="Arial" w:cs="Arial" w:eastAsia="Arial" w:hAnsi="Arial"/>
                <w:sz w:val="18"/>
                <w:szCs w:val="18"/>
                <w:color w:val="auto"/>
              </w:rPr>
              <w:t>(32,083)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unbilled revenue</w:t>
            </w: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13,227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Decrease/(increase) in other current assets</w:t>
            </w:r>
          </w:p>
        </w:tc>
        <w:tc>
          <w:tcPr>
            <w:tcW w:w="154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1,984</w:t>
            </w:r>
          </w:p>
        </w:tc>
        <w:tc>
          <w:tcPr>
            <w:tcW w:w="1220" w:type="dxa"/>
            <w:vAlign w:val="bottom"/>
          </w:tcPr>
          <w:p>
            <w:pPr>
              <w:jc w:val="right"/>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Increase in other non current assets</w:t>
            </w: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(861)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(Increase)/decrease in inventory</w:t>
            </w:r>
          </w:p>
        </w:tc>
        <w:tc>
          <w:tcPr>
            <w:tcW w:w="1540" w:type="dxa"/>
            <w:vAlign w:val="bottom"/>
          </w:tcPr>
          <w:p>
            <w:pPr>
              <w:spacing w:after="0"/>
              <w:rPr>
                <w:sz w:val="18"/>
                <w:szCs w:val="18"/>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b w:val="1"/>
                <w:bCs w:val="1"/>
                <w:color w:val="auto"/>
              </w:rPr>
              <w:t>(175)</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accounts payable</w:t>
            </w: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1,038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Increase in payments on account</w:t>
            </w:r>
          </w:p>
        </w:tc>
        <w:tc>
          <w:tcPr>
            <w:tcW w:w="154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68,654</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9,494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Increase in accrued and other liabilities and provisions</w:t>
            </w: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2,921</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27,379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Increase/(decrease) in non current other liabilities and provisions</w:t>
            </w:r>
          </w:p>
        </w:tc>
        <w:tc>
          <w:tcPr>
            <w:tcW w:w="15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189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provided by operations</w:t>
            </w:r>
          </w:p>
        </w:tc>
        <w:tc>
          <w:tcPr>
            <w:tcW w:w="15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130,750</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42,618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Income taxes paid</w:t>
            </w:r>
          </w:p>
        </w:tc>
        <w:tc>
          <w:tcPr>
            <w:tcW w:w="1540" w:type="dxa"/>
            <w:vAlign w:val="bottom"/>
          </w:tcPr>
          <w:p>
            <w:pPr>
              <w:spacing w:after="0"/>
              <w:rPr>
                <w:sz w:val="18"/>
                <w:szCs w:val="18"/>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b w:val="1"/>
                <w:bCs w:val="1"/>
                <w:color w:val="auto"/>
              </w:rPr>
              <w:t>(18,475)</w:t>
            </w:r>
          </w:p>
        </w:tc>
        <w:tc>
          <w:tcPr>
            <w:tcW w:w="1220" w:type="dxa"/>
            <w:vAlign w:val="bottom"/>
          </w:tcPr>
          <w:p>
            <w:pPr>
              <w:jc w:val="right"/>
              <w:spacing w:after="0"/>
              <w:rPr>
                <w:sz w:val="20"/>
                <w:szCs w:val="20"/>
                <w:color w:val="auto"/>
              </w:rPr>
            </w:pPr>
            <w:r>
              <w:rPr>
                <w:rFonts w:ascii="Arial" w:cs="Arial" w:eastAsia="Arial" w:hAnsi="Arial"/>
                <w:sz w:val="18"/>
                <w:szCs w:val="18"/>
                <w:color w:val="auto"/>
              </w:rPr>
              <w:t>(22,723)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 defined benefit pension scheme</w:t>
            </w:r>
          </w:p>
        </w:tc>
        <w:tc>
          <w:tcPr>
            <w:tcW w:w="1540" w:type="dxa"/>
            <w:vAlign w:val="bottom"/>
            <w:shd w:val="clear" w:color="auto" w:fill="CCEEFF"/>
          </w:tcPr>
          <w:p>
            <w:pPr>
              <w:jc w:val="center"/>
              <w:ind w:left="412"/>
              <w:spacing w:after="0"/>
              <w:rPr>
                <w:sz w:val="20"/>
                <w:szCs w:val="20"/>
                <w:color w:val="auto"/>
              </w:rPr>
            </w:pPr>
            <w:r>
              <w:rPr>
                <w:rFonts w:ascii="Arial" w:cs="Arial" w:eastAsia="Arial" w:hAnsi="Arial"/>
                <w:sz w:val="18"/>
                <w:szCs w:val="18"/>
                <w:i w:val="1"/>
                <w:iCs w:val="1"/>
                <w:color w:val="auto"/>
                <w:w w:val="79"/>
              </w:rPr>
              <w:t>9</w:t>
            </w:r>
          </w:p>
        </w:tc>
        <w:tc>
          <w:tcPr>
            <w:tcW w:w="16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(239)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Interest received</w:t>
            </w:r>
          </w:p>
        </w:tc>
        <w:tc>
          <w:tcPr>
            <w:tcW w:w="154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1,997</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(602)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Receipt of government grants</w:t>
            </w:r>
          </w:p>
        </w:tc>
        <w:tc>
          <w:tcPr>
            <w:tcW w:w="15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340</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cash inflow from operating activities</w:t>
            </w:r>
          </w:p>
        </w:tc>
        <w:tc>
          <w:tcPr>
            <w:tcW w:w="15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113,771</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20,192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(13,859)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1540" w:type="dxa"/>
            <w:vAlign w:val="bottom"/>
          </w:tcPr>
          <w:p>
            <w:pPr>
              <w:spacing w:after="0"/>
              <w:rPr>
                <w:sz w:val="18"/>
                <w:szCs w:val="18"/>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b w:val="1"/>
                <w:bCs w:val="1"/>
                <w:color w:val="auto"/>
              </w:rPr>
              <w:t>(16,932)</w:t>
            </w:r>
          </w:p>
        </w:tc>
        <w:tc>
          <w:tcPr>
            <w:tcW w:w="1220" w:type="dxa"/>
            <w:vAlign w:val="bottom"/>
          </w:tcPr>
          <w:p>
            <w:pPr>
              <w:jc w:val="right"/>
              <w:spacing w:after="0"/>
              <w:rPr>
                <w:sz w:val="20"/>
                <w:szCs w:val="20"/>
                <w:color w:val="auto"/>
              </w:rPr>
            </w:pPr>
            <w:r>
              <w:rPr>
                <w:rFonts w:ascii="Arial" w:cs="Arial" w:eastAsia="Arial" w:hAnsi="Arial"/>
                <w:sz w:val="18"/>
                <w:szCs w:val="18"/>
                <w:color w:val="auto"/>
              </w:rPr>
              <w:t>(20,844)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Purchase of subsidiary undertakings</w:t>
            </w: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(72,508)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Cash acquired with subsidiary undertakings</w:t>
            </w:r>
          </w:p>
        </w:tc>
        <w:tc>
          <w:tcPr>
            <w:tcW w:w="154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2,572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Sale of current asset investments</w:t>
            </w: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82,193</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of current asset investments</w:t>
            </w:r>
          </w:p>
        </w:tc>
        <w:tc>
          <w:tcPr>
            <w:tcW w:w="15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(102,575)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5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(121,109)</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the exercise of share options</w:t>
            </w: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1,274</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Proceeds from exercise of share options</w:t>
            </w:r>
          </w:p>
        </w:tc>
        <w:tc>
          <w:tcPr>
            <w:tcW w:w="154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13,015</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Repurchase of ordinary shares</w:t>
            </w:r>
          </w:p>
        </w:tc>
        <w:tc>
          <w:tcPr>
            <w:tcW w:w="1540" w:type="dxa"/>
            <w:vAlign w:val="bottom"/>
          </w:tcPr>
          <w:p>
            <w:pPr>
              <w:spacing w:after="0"/>
              <w:rPr>
                <w:sz w:val="18"/>
                <w:szCs w:val="18"/>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b w:val="1"/>
                <w:bCs w:val="1"/>
                <w:color w:val="auto"/>
              </w:rPr>
              <w:t>(15,605)</w:t>
            </w:r>
          </w:p>
        </w:tc>
        <w:tc>
          <w:tcPr>
            <w:tcW w:w="1220" w:type="dxa"/>
            <w:vAlign w:val="bottom"/>
          </w:tcPr>
          <w:p>
            <w:pPr>
              <w:jc w:val="right"/>
              <w:spacing w:after="0"/>
              <w:rPr>
                <w:sz w:val="20"/>
                <w:szCs w:val="20"/>
                <w:color w:val="auto"/>
              </w:rPr>
            </w:pPr>
            <w:r>
              <w:rPr>
                <w:rFonts w:ascii="Arial" w:cs="Arial" w:eastAsia="Arial" w:hAnsi="Arial"/>
                <w:sz w:val="18"/>
                <w:szCs w:val="18"/>
                <w:color w:val="auto"/>
              </w:rPr>
              <w:t>(9,005)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repurchase costs</w:t>
            </w:r>
          </w:p>
        </w:tc>
        <w:tc>
          <w:tcPr>
            <w:tcW w:w="15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(190)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5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(1,580)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5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(8,918)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54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3,728</w:t>
            </w:r>
          </w:p>
        </w:tc>
        <w:tc>
          <w:tcPr>
            <w:tcW w:w="122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start of year</w:t>
            </w:r>
          </w:p>
        </w:tc>
        <w:tc>
          <w:tcPr>
            <w:tcW w:w="15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119,237</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255,706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5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114,047</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7060" w:type="dxa"/>
            <w:vAlign w:val="bottom"/>
            <w:gridSpan w:val="2"/>
          </w:tcPr>
          <w:p>
            <w:pPr>
              <w:jc w:val="right"/>
              <w:ind w:right="1172"/>
              <w:spacing w:after="0"/>
              <w:rPr>
                <w:sz w:val="20"/>
                <w:szCs w:val="20"/>
                <w:color w:val="auto"/>
              </w:rPr>
            </w:pPr>
            <w:r>
              <w:rPr>
                <w:rFonts w:ascii="Arial" w:cs="Arial" w:eastAsia="Arial" w:hAnsi="Arial"/>
                <w:sz w:val="18"/>
                <w:szCs w:val="18"/>
                <w:color w:val="auto"/>
              </w:rPr>
              <w:t>32</w:t>
            </w:r>
          </w:p>
        </w:tc>
        <w:tc>
          <w:tcPr>
            <w:tcW w:w="1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0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Notes to Consolidated Financial Statements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Segmental information</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Group is a contract research organisation (“CRO”), providing outsourced development services on a global basis to the pharmaceutical, biotechnology and medical device industries. It specialises in the strategic development, management and analysis of programmes that support all stages of the clinical development process - from compound selection to Phase I-IV clinical studies. The Group has expanded predominately through internal growth, together with a number of strategic acquisitions to enhance its expertise and capabilities in certain areas of the clinical development process. The Group has the ability to conduct clinical trials in most major therapeutic areas on a global basis and has the operational flexibility to provide development services on a stand-alone basis or as part of an integrated “full service” solution. These services include clinical trials management, biometric activities, consulting, imaging, contract staffing, and informatics. The Group also provides laboratory services through its central laboratory business, which includes the Group’s central laboratories located in Dublin, New York, India, Singapore and China.</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The Group determines and presents operating segments in accordance with IFRS 8 </w:t>
      </w:r>
      <w:r>
        <w:rPr>
          <w:rFonts w:ascii="Arial" w:cs="Arial" w:eastAsia="Arial" w:hAnsi="Arial"/>
          <w:sz w:val="17"/>
          <w:szCs w:val="17"/>
          <w:i w:val="1"/>
          <w:iCs w:val="1"/>
          <w:color w:val="auto"/>
        </w:rPr>
        <w:t>Operating Segments</w:t>
      </w:r>
      <w:r>
        <w:rPr>
          <w:rFonts w:ascii="Arial" w:cs="Arial" w:eastAsia="Arial" w:hAnsi="Arial"/>
          <w:sz w:val="17"/>
          <w:szCs w:val="17"/>
          <w:color w:val="auto"/>
        </w:rPr>
        <w:t xml:space="preserve"> based on the information that internally is provided to the Chief Executive Officer (CEO) and Chief Financial Officer (CFO), who together are considered the Group’s chief operating decision makers. The Group has determined that it has two reportable segments, its Clinical research segment and Central laboratory segment. The Group’s listing for its shares is the NASDAQ market in the United States. Consequently, information reviewed by the chief operating decision makers and presented below is prepared in accordance with US generally accepted accounting principles (“US GAAP”). Reconciliations of the Group’s profit for the financial year and shareholders’ equity from US GAAP to IFRS are set out on pages 116 to 119 of this report.</w:t>
      </w:r>
    </w:p>
    <w:p>
      <w:pPr>
        <w:spacing w:after="0" w:line="207"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Group’s areas of operation outside of Ireland include, the United States, the United Kingdom, France, Germany, Italy, Spain, The Netherlands, Sweden, Finland, Denmark, Belgium, Switzerland, Poland, Czech Republic, Lithuania, Latvia, Russia, Ukraine, Hungary, Israel, Romania, Canada, Mexico, Brazil, Colombia, Argentina, Chile, Peru, India, China, South Korea, Japan, Thailand, Taiwan, Singapore, The Philippines, Australia, New Zealand, and South Africa.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80" w:type="dxa"/>
            <w:vAlign w:val="bottom"/>
            <w:gridSpan w:val="3"/>
          </w:tcPr>
          <w:p>
            <w:pPr>
              <w:spacing w:after="0"/>
              <w:rPr>
                <w:sz w:val="20"/>
                <w:szCs w:val="20"/>
                <w:color w:val="auto"/>
              </w:rPr>
            </w:pPr>
            <w:r>
              <w:rPr>
                <w:rFonts w:ascii="Arial" w:cs="Arial" w:eastAsia="Arial" w:hAnsi="Arial"/>
                <w:sz w:val="18"/>
                <w:szCs w:val="18"/>
                <w:i w:val="1"/>
                <w:iCs w:val="1"/>
                <w:color w:val="auto"/>
              </w:rPr>
              <w:t>Business segment information</w:t>
            </w:r>
          </w:p>
        </w:tc>
        <w:tc>
          <w:tcPr>
            <w:tcW w:w="6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280" w:type="dxa"/>
            <w:vAlign w:val="bottom"/>
          </w:tcPr>
          <w:p>
            <w:pPr>
              <w:jc w:val="right"/>
              <w:ind w:right="112"/>
              <w:spacing w:after="0"/>
              <w:rPr>
                <w:sz w:val="20"/>
                <w:szCs w:val="20"/>
                <w:color w:val="auto"/>
              </w:rPr>
            </w:pPr>
            <w:r>
              <w:rPr>
                <w:rFonts w:ascii="Arial" w:cs="Arial" w:eastAsia="Arial" w:hAnsi="Arial"/>
                <w:sz w:val="18"/>
                <w:szCs w:val="18"/>
                <w:b w:val="1"/>
                <w:bCs w:val="1"/>
                <w:color w:val="auto"/>
              </w:rPr>
              <w:t>(US GAAP)</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(US GAAP)</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280" w:type="dxa"/>
            <w:vAlign w:val="bottom"/>
          </w:tcPr>
          <w:p>
            <w:pPr>
              <w:jc w:val="right"/>
              <w:ind w:right="112"/>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280" w:type="dxa"/>
            <w:vAlign w:val="bottom"/>
          </w:tcPr>
          <w:p>
            <w:pPr>
              <w:jc w:val="right"/>
              <w:ind w:right="112"/>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28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3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Revenue</w:t>
            </w:r>
          </w:p>
        </w:tc>
        <w:tc>
          <w:tcPr>
            <w:tcW w:w="628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73"/>
        </w:trPr>
        <w:tc>
          <w:tcPr>
            <w:tcW w:w="3880" w:type="dxa"/>
            <w:vAlign w:val="bottom"/>
            <w:gridSpan w:val="3"/>
            <w:vMerge w:val="continue"/>
          </w:tcPr>
          <w:p>
            <w:pPr>
              <w:spacing w:after="0"/>
              <w:rPr>
                <w:sz w:val="15"/>
                <w:szCs w:val="15"/>
                <w:color w:val="auto"/>
              </w:rPr>
            </w:pPr>
          </w:p>
        </w:tc>
        <w:tc>
          <w:tcPr>
            <w:tcW w:w="6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6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87,467</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71,549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Clinical research</w:t>
            </w:r>
          </w:p>
        </w:tc>
        <w:tc>
          <w:tcPr>
            <w:tcW w:w="62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1,027,539</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874,180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62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1,115,006</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945,729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280" w:type="dxa"/>
            <w:vAlign w:val="bottom"/>
          </w:tcPr>
          <w:p>
            <w:pPr>
              <w:jc w:val="right"/>
              <w:ind w:right="4272"/>
              <w:spacing w:after="0"/>
              <w:rPr>
                <w:sz w:val="20"/>
                <w:szCs w:val="20"/>
                <w:color w:val="auto"/>
              </w:rPr>
            </w:pPr>
            <w:r>
              <w:rPr>
                <w:rFonts w:ascii="Arial" w:cs="Arial" w:eastAsia="Arial" w:hAnsi="Arial"/>
                <w:sz w:val="18"/>
                <w:szCs w:val="18"/>
                <w:color w:val="auto"/>
              </w:rPr>
              <w:t>33</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6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2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1. Segmental information </w:t>
            </w:r>
            <w:r>
              <w:rPr>
                <w:rFonts w:ascii="Arial" w:cs="Arial" w:eastAsia="Arial" w:hAnsi="Arial"/>
                <w:sz w:val="18"/>
                <w:szCs w:val="18"/>
                <w:b w:val="1"/>
                <w:bCs w:val="1"/>
                <w:i w:val="1"/>
                <w:iCs w:val="1"/>
                <w:color w:val="auto"/>
              </w:rPr>
              <w:t>(continued)</w:t>
            </w:r>
          </w:p>
        </w:tc>
        <w:tc>
          <w:tcPr>
            <w:tcW w:w="460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(US GAAP)</w:t>
            </w:r>
          </w:p>
        </w:tc>
        <w:tc>
          <w:tcPr>
            <w:tcW w:w="136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(US GAAP)</w:t>
            </w:r>
          </w:p>
        </w:tc>
        <w:tc>
          <w:tcPr>
            <w:tcW w:w="12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(US GAAP)</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60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00" w:type="dxa"/>
            <w:vAlign w:val="bottom"/>
          </w:tcPr>
          <w:p>
            <w:pPr>
              <w:jc w:val="right"/>
              <w:ind w:right="132"/>
              <w:spacing w:after="0"/>
              <w:rPr>
                <w:sz w:val="20"/>
                <w:szCs w:val="20"/>
                <w:color w:val="auto"/>
              </w:rPr>
            </w:pPr>
            <w:r>
              <w:rPr>
                <w:rFonts w:ascii="Arial" w:cs="Arial" w:eastAsia="Arial" w:hAnsi="Arial"/>
                <w:sz w:val="18"/>
                <w:szCs w:val="18"/>
                <w:b w:val="1"/>
                <w:bCs w:val="1"/>
                <w:color w:val="auto"/>
              </w:rPr>
              <w:t>Year ended</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00" w:type="dxa"/>
            <w:vAlign w:val="bottom"/>
          </w:tcPr>
          <w:p>
            <w:pPr>
              <w:jc w:val="right"/>
              <w:ind w:right="132"/>
              <w:spacing w:after="0"/>
              <w:rPr>
                <w:sz w:val="20"/>
                <w:szCs w:val="20"/>
                <w:color w:val="auto"/>
              </w:rPr>
            </w:pPr>
            <w:r>
              <w:rPr>
                <w:rFonts w:ascii="Arial" w:cs="Arial" w:eastAsia="Arial" w:hAnsi="Arial"/>
                <w:sz w:val="18"/>
                <w:szCs w:val="18"/>
                <w:b w:val="1"/>
                <w:bCs w:val="1"/>
                <w:color w:val="auto"/>
              </w:rPr>
              <w:t>31 December</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00" w:type="dxa"/>
            <w:vAlign w:val="bottom"/>
          </w:tcPr>
          <w:p>
            <w:pPr>
              <w:jc w:val="right"/>
              <w:ind w:right="132"/>
              <w:spacing w:after="0"/>
              <w:rPr>
                <w:sz w:val="20"/>
                <w:szCs w:val="20"/>
                <w:color w:val="auto"/>
              </w:rPr>
            </w:pPr>
            <w:r>
              <w:rPr>
                <w:rFonts w:ascii="Arial" w:cs="Arial" w:eastAsia="Arial" w:hAnsi="Arial"/>
                <w:sz w:val="18"/>
                <w:szCs w:val="18"/>
                <w:b w:val="1"/>
                <w:bCs w:val="1"/>
                <w:color w:val="auto"/>
              </w:rPr>
              <w:t>2012</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00" w:type="dxa"/>
            <w:vAlign w:val="bottom"/>
          </w:tcPr>
          <w:p>
            <w:pPr>
              <w:jc w:val="right"/>
              <w:ind w:right="132"/>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00" w:type="dxa"/>
            <w:vAlign w:val="bottom"/>
          </w:tcPr>
          <w:p>
            <w:pPr>
              <w:jc w:val="right"/>
              <w:ind w:right="132"/>
              <w:spacing w:after="0"/>
              <w:rPr>
                <w:sz w:val="20"/>
                <w:szCs w:val="20"/>
                <w:color w:val="auto"/>
              </w:rPr>
            </w:pPr>
            <w:r>
              <w:rPr>
                <w:rFonts w:ascii="Arial" w:cs="Arial" w:eastAsia="Arial" w:hAnsi="Arial"/>
                <w:sz w:val="18"/>
                <w:szCs w:val="18"/>
                <w:b w:val="1"/>
                <w:bCs w:val="1"/>
                <w:color w:val="auto"/>
              </w:rPr>
              <w:t>Excluding</w:t>
            </w:r>
          </w:p>
        </w:tc>
        <w:tc>
          <w:tcPr>
            <w:tcW w:w="136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Including</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00" w:type="dxa"/>
            <w:vAlign w:val="bottom"/>
          </w:tcPr>
          <w:p>
            <w:pPr>
              <w:jc w:val="right"/>
              <w:ind w:right="132"/>
              <w:spacing w:after="0"/>
              <w:rPr>
                <w:sz w:val="20"/>
                <w:szCs w:val="20"/>
                <w:color w:val="auto"/>
              </w:rPr>
            </w:pPr>
            <w:r>
              <w:rPr>
                <w:rFonts w:ascii="Arial" w:cs="Arial" w:eastAsia="Arial" w:hAnsi="Arial"/>
                <w:sz w:val="18"/>
                <w:szCs w:val="18"/>
                <w:b w:val="1"/>
                <w:bCs w:val="1"/>
                <w:color w:val="auto"/>
              </w:rPr>
              <w:t>Exceptional</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Exceptional</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Exceptional</w:t>
            </w:r>
          </w:p>
        </w:tc>
        <w:tc>
          <w:tcPr>
            <w:tcW w:w="0" w:type="dxa"/>
            <w:vAlign w:val="bottom"/>
          </w:tcPr>
          <w:p>
            <w:pPr>
              <w:spacing w:after="0"/>
              <w:rPr>
                <w:sz w:val="1"/>
                <w:szCs w:val="1"/>
                <w:color w:val="auto"/>
              </w:rPr>
            </w:pPr>
          </w:p>
        </w:tc>
      </w:tr>
      <w:tr>
        <w:trPr>
          <w:trHeight w:val="229"/>
        </w:trPr>
        <w:tc>
          <w:tcPr>
            <w:tcW w:w="422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Income from Operations</w:t>
            </w:r>
          </w:p>
        </w:tc>
        <w:tc>
          <w:tcPr>
            <w:tcW w:w="4600" w:type="dxa"/>
            <w:vAlign w:val="bottom"/>
          </w:tcPr>
          <w:p>
            <w:pPr>
              <w:jc w:val="right"/>
              <w:ind w:right="132"/>
              <w:spacing w:after="0"/>
              <w:rPr>
                <w:sz w:val="20"/>
                <w:szCs w:val="20"/>
                <w:color w:val="auto"/>
              </w:rPr>
            </w:pPr>
            <w:r>
              <w:rPr>
                <w:rFonts w:ascii="Arial" w:cs="Arial" w:eastAsia="Arial" w:hAnsi="Arial"/>
                <w:sz w:val="18"/>
                <w:szCs w:val="18"/>
                <w:b w:val="1"/>
                <w:bCs w:val="1"/>
                <w:color w:val="auto"/>
              </w:rPr>
              <w:t>items</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items</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items</w:t>
            </w:r>
          </w:p>
        </w:tc>
        <w:tc>
          <w:tcPr>
            <w:tcW w:w="0" w:type="dxa"/>
            <w:vAlign w:val="bottom"/>
          </w:tcPr>
          <w:p>
            <w:pPr>
              <w:spacing w:after="0"/>
              <w:rPr>
                <w:sz w:val="1"/>
                <w:szCs w:val="1"/>
                <w:color w:val="auto"/>
              </w:rPr>
            </w:pPr>
          </w:p>
        </w:tc>
      </w:tr>
      <w:tr>
        <w:trPr>
          <w:trHeight w:val="173"/>
        </w:trPr>
        <w:tc>
          <w:tcPr>
            <w:tcW w:w="4220" w:type="dxa"/>
            <w:vAlign w:val="bottom"/>
            <w:gridSpan w:val="6"/>
            <w:vMerge w:val="continue"/>
          </w:tcPr>
          <w:p>
            <w:pPr>
              <w:spacing w:after="0"/>
              <w:rPr>
                <w:sz w:val="15"/>
                <w:szCs w:val="15"/>
                <w:color w:val="auto"/>
              </w:rPr>
            </w:pPr>
          </w:p>
        </w:tc>
        <w:tc>
          <w:tcPr>
            <w:tcW w:w="4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8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2360" w:type="dxa"/>
            <w:vAlign w:val="bottom"/>
            <w:gridSpan w:val="2"/>
            <w:shd w:val="clear" w:color="auto" w:fill="CCEEFF"/>
          </w:tcPr>
          <w:p>
            <w:pPr>
              <w:spacing w:after="0"/>
              <w:rPr>
                <w:sz w:val="20"/>
                <w:szCs w:val="20"/>
                <w:color w:val="auto"/>
              </w:rPr>
            </w:pPr>
          </w:p>
        </w:tc>
        <w:tc>
          <w:tcPr>
            <w:tcW w:w="46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4,059</w:t>
            </w:r>
          </w:p>
        </w:tc>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(158)</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3,901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Clinical research</w:t>
            </w:r>
          </w:p>
        </w:tc>
        <w:tc>
          <w:tcPr>
            <w:tcW w:w="4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69,594</w:t>
            </w: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(5,478)</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64,116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Total</w:t>
            </w:r>
          </w:p>
        </w:tc>
        <w:tc>
          <w:tcPr>
            <w:tcW w:w="4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73,653</w:t>
            </w: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(5,636)</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68,017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600" w:type="dxa"/>
            <w:vAlign w:val="bottom"/>
          </w:tcPr>
          <w:p>
            <w:pPr>
              <w:jc w:val="right"/>
              <w:ind w:right="132"/>
              <w:spacing w:after="0"/>
              <w:rPr>
                <w:sz w:val="20"/>
                <w:szCs w:val="20"/>
                <w:color w:val="auto"/>
              </w:rPr>
            </w:pPr>
            <w:r>
              <w:rPr>
                <w:rFonts w:ascii="Arial" w:cs="Arial" w:eastAsia="Arial" w:hAnsi="Arial"/>
                <w:sz w:val="18"/>
                <w:szCs w:val="18"/>
                <w:b w:val="1"/>
                <w:bCs w:val="1"/>
                <w:color w:val="auto"/>
              </w:rPr>
              <w:t>(US GAAP)</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(US GAAP)</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(US GAAP)</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00" w:type="dxa"/>
            <w:vAlign w:val="bottom"/>
          </w:tcPr>
          <w:p>
            <w:pPr>
              <w:jc w:val="right"/>
              <w:ind w:right="132"/>
              <w:spacing w:after="0"/>
              <w:rPr>
                <w:sz w:val="20"/>
                <w:szCs w:val="20"/>
                <w:color w:val="auto"/>
              </w:rPr>
            </w:pPr>
            <w:r>
              <w:rPr>
                <w:rFonts w:ascii="Arial" w:cs="Arial" w:eastAsia="Arial" w:hAnsi="Arial"/>
                <w:sz w:val="18"/>
                <w:szCs w:val="18"/>
                <w:b w:val="1"/>
                <w:bCs w:val="1"/>
                <w:color w:val="auto"/>
              </w:rPr>
              <w:t>Year ended</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00" w:type="dxa"/>
            <w:vAlign w:val="bottom"/>
          </w:tcPr>
          <w:p>
            <w:pPr>
              <w:jc w:val="right"/>
              <w:ind w:right="132"/>
              <w:spacing w:after="0"/>
              <w:rPr>
                <w:sz w:val="20"/>
                <w:szCs w:val="20"/>
                <w:color w:val="auto"/>
              </w:rPr>
            </w:pPr>
            <w:r>
              <w:rPr>
                <w:rFonts w:ascii="Arial" w:cs="Arial" w:eastAsia="Arial" w:hAnsi="Arial"/>
                <w:sz w:val="18"/>
                <w:szCs w:val="18"/>
                <w:b w:val="1"/>
                <w:bCs w:val="1"/>
                <w:color w:val="auto"/>
              </w:rPr>
              <w:t>31 December</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00" w:type="dxa"/>
            <w:vAlign w:val="bottom"/>
          </w:tcPr>
          <w:p>
            <w:pPr>
              <w:jc w:val="right"/>
              <w:ind w:right="132"/>
              <w:spacing w:after="0"/>
              <w:rPr>
                <w:sz w:val="20"/>
                <w:szCs w:val="20"/>
                <w:color w:val="auto"/>
              </w:rPr>
            </w:pPr>
            <w:r>
              <w:rPr>
                <w:rFonts w:ascii="Arial" w:cs="Arial" w:eastAsia="Arial" w:hAnsi="Arial"/>
                <w:sz w:val="18"/>
                <w:szCs w:val="18"/>
                <w:b w:val="1"/>
                <w:bCs w:val="1"/>
                <w:color w:val="auto"/>
              </w:rPr>
              <w:t>2011</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2011</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00" w:type="dxa"/>
            <w:vAlign w:val="bottom"/>
          </w:tcPr>
          <w:p>
            <w:pPr>
              <w:jc w:val="right"/>
              <w:ind w:right="132"/>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00" w:type="dxa"/>
            <w:vAlign w:val="bottom"/>
          </w:tcPr>
          <w:p>
            <w:pPr>
              <w:jc w:val="right"/>
              <w:ind w:right="132"/>
              <w:spacing w:after="0"/>
              <w:rPr>
                <w:sz w:val="20"/>
                <w:szCs w:val="20"/>
                <w:color w:val="auto"/>
              </w:rPr>
            </w:pPr>
            <w:r>
              <w:rPr>
                <w:rFonts w:ascii="Arial" w:cs="Arial" w:eastAsia="Arial" w:hAnsi="Arial"/>
                <w:sz w:val="18"/>
                <w:szCs w:val="18"/>
                <w:b w:val="1"/>
                <w:bCs w:val="1"/>
                <w:color w:val="auto"/>
              </w:rPr>
              <w:t>Excluding</w:t>
            </w:r>
          </w:p>
        </w:tc>
        <w:tc>
          <w:tcPr>
            <w:tcW w:w="136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Including</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00" w:type="dxa"/>
            <w:vAlign w:val="bottom"/>
          </w:tcPr>
          <w:p>
            <w:pPr>
              <w:jc w:val="right"/>
              <w:ind w:right="132"/>
              <w:spacing w:after="0"/>
              <w:rPr>
                <w:sz w:val="20"/>
                <w:szCs w:val="20"/>
                <w:color w:val="auto"/>
              </w:rPr>
            </w:pPr>
            <w:r>
              <w:rPr>
                <w:rFonts w:ascii="Arial" w:cs="Arial" w:eastAsia="Arial" w:hAnsi="Arial"/>
                <w:sz w:val="18"/>
                <w:szCs w:val="18"/>
                <w:b w:val="1"/>
                <w:bCs w:val="1"/>
                <w:color w:val="auto"/>
              </w:rPr>
              <w:t>Exceptional</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Exceptional</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Exceptional</w:t>
            </w:r>
          </w:p>
        </w:tc>
        <w:tc>
          <w:tcPr>
            <w:tcW w:w="0" w:type="dxa"/>
            <w:vAlign w:val="bottom"/>
          </w:tcPr>
          <w:p>
            <w:pPr>
              <w:spacing w:after="0"/>
              <w:rPr>
                <w:sz w:val="1"/>
                <w:szCs w:val="1"/>
                <w:color w:val="auto"/>
              </w:rPr>
            </w:pPr>
          </w:p>
        </w:tc>
      </w:tr>
      <w:tr>
        <w:trPr>
          <w:trHeight w:val="229"/>
        </w:trPr>
        <w:tc>
          <w:tcPr>
            <w:tcW w:w="422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Income from Operations</w:t>
            </w:r>
          </w:p>
        </w:tc>
        <w:tc>
          <w:tcPr>
            <w:tcW w:w="4600" w:type="dxa"/>
            <w:vAlign w:val="bottom"/>
          </w:tcPr>
          <w:p>
            <w:pPr>
              <w:jc w:val="right"/>
              <w:ind w:right="132"/>
              <w:spacing w:after="0"/>
              <w:rPr>
                <w:sz w:val="20"/>
                <w:szCs w:val="20"/>
                <w:color w:val="auto"/>
              </w:rPr>
            </w:pPr>
            <w:r>
              <w:rPr>
                <w:rFonts w:ascii="Arial" w:cs="Arial" w:eastAsia="Arial" w:hAnsi="Arial"/>
                <w:sz w:val="18"/>
                <w:szCs w:val="18"/>
                <w:b w:val="1"/>
                <w:bCs w:val="1"/>
                <w:color w:val="auto"/>
              </w:rPr>
              <w:t>items</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items</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items</w:t>
            </w:r>
          </w:p>
        </w:tc>
        <w:tc>
          <w:tcPr>
            <w:tcW w:w="0" w:type="dxa"/>
            <w:vAlign w:val="bottom"/>
          </w:tcPr>
          <w:p>
            <w:pPr>
              <w:spacing w:after="0"/>
              <w:rPr>
                <w:sz w:val="1"/>
                <w:szCs w:val="1"/>
                <w:color w:val="auto"/>
              </w:rPr>
            </w:pPr>
          </w:p>
        </w:tc>
      </w:tr>
      <w:tr>
        <w:trPr>
          <w:trHeight w:val="173"/>
        </w:trPr>
        <w:tc>
          <w:tcPr>
            <w:tcW w:w="4220" w:type="dxa"/>
            <w:vAlign w:val="bottom"/>
            <w:gridSpan w:val="6"/>
            <w:vMerge w:val="continue"/>
          </w:tcPr>
          <w:p>
            <w:pPr>
              <w:spacing w:after="0"/>
              <w:rPr>
                <w:sz w:val="15"/>
                <w:szCs w:val="15"/>
                <w:color w:val="auto"/>
              </w:rPr>
            </w:pPr>
          </w:p>
        </w:tc>
        <w:tc>
          <w:tcPr>
            <w:tcW w:w="4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8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2360" w:type="dxa"/>
            <w:vAlign w:val="bottom"/>
            <w:gridSpan w:val="2"/>
            <w:shd w:val="clear" w:color="auto" w:fill="CCEEFF"/>
          </w:tcPr>
          <w:p>
            <w:pPr>
              <w:spacing w:after="0"/>
              <w:rPr>
                <w:sz w:val="20"/>
                <w:szCs w:val="20"/>
                <w:color w:val="auto"/>
              </w:rPr>
            </w:pPr>
          </w:p>
        </w:tc>
        <w:tc>
          <w:tcPr>
            <w:tcW w:w="4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(661)</w:t>
            </w:r>
          </w:p>
        </w:tc>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(1,545)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Clinical research</w:t>
            </w:r>
          </w:p>
        </w:tc>
        <w:tc>
          <w:tcPr>
            <w:tcW w:w="4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39,921</w:t>
            </w: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(8,272)</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31,649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Total</w:t>
            </w:r>
          </w:p>
        </w:tc>
        <w:tc>
          <w:tcPr>
            <w:tcW w:w="4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39,260</w:t>
            </w: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(9,817)</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b w:val="1"/>
                <w:bCs w:val="1"/>
                <w:color w:val="auto"/>
              </w:rPr>
              <w:t>(US GAAP)</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(US GAAP)</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31 December</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b w:val="1"/>
                <w:bCs w:val="1"/>
                <w:color w:val="auto"/>
              </w:rPr>
              <w:t>2012</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422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Depreciation and Amortisation</w:t>
            </w:r>
          </w:p>
        </w:tc>
        <w:tc>
          <w:tcPr>
            <w:tcW w:w="460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73"/>
        </w:trPr>
        <w:tc>
          <w:tcPr>
            <w:tcW w:w="4220" w:type="dxa"/>
            <w:vAlign w:val="bottom"/>
            <w:gridSpan w:val="6"/>
            <w:vMerge w:val="continue"/>
          </w:tcPr>
          <w:p>
            <w:pPr>
              <w:spacing w:after="0"/>
              <w:rPr>
                <w:sz w:val="15"/>
                <w:szCs w:val="15"/>
                <w:color w:val="auto"/>
              </w:rPr>
            </w:pPr>
          </w:p>
        </w:tc>
        <w:tc>
          <w:tcPr>
            <w:tcW w:w="4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32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1880" w:type="dxa"/>
            <w:vAlign w:val="bottom"/>
            <w:shd w:val="clear" w:color="auto" w:fill="CCEEFF"/>
          </w:tcPr>
          <w:p>
            <w:pPr>
              <w:spacing w:after="0"/>
              <w:rPr>
                <w:sz w:val="20"/>
                <w:szCs w:val="20"/>
                <w:color w:val="auto"/>
              </w:rPr>
            </w:pPr>
          </w:p>
        </w:tc>
        <w:tc>
          <w:tcPr>
            <w:tcW w:w="46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4,142</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Clinical research</w:t>
            </w:r>
          </w:p>
        </w:tc>
        <w:tc>
          <w:tcPr>
            <w:tcW w:w="4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38,681</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34,961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Total</w:t>
            </w:r>
          </w:p>
        </w:tc>
        <w:tc>
          <w:tcPr>
            <w:tcW w:w="46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42,823</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200" w:type="dxa"/>
            <w:vAlign w:val="bottom"/>
            <w:gridSpan w:val="5"/>
          </w:tcPr>
          <w:p>
            <w:pPr>
              <w:spacing w:after="0" w:line="172" w:lineRule="exact"/>
              <w:rPr>
                <w:sz w:val="20"/>
                <w:szCs w:val="20"/>
                <w:color w:val="auto"/>
              </w:rPr>
            </w:pPr>
            <w:r>
              <w:rPr>
                <w:rFonts w:ascii="Arial" w:cs="Arial" w:eastAsia="Arial" w:hAnsi="Arial"/>
                <w:sz w:val="18"/>
                <w:szCs w:val="18"/>
                <w:b w:val="1"/>
                <w:bCs w:val="1"/>
                <w:color w:val="auto"/>
              </w:rPr>
              <w:t>Share based payment</w:t>
            </w:r>
          </w:p>
        </w:tc>
        <w:tc>
          <w:tcPr>
            <w:tcW w:w="4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2600" w:type="dxa"/>
            <w:vAlign w:val="bottom"/>
            <w:gridSpan w:val="3"/>
            <w:shd w:val="clear" w:color="auto" w:fill="CCEEFF"/>
          </w:tcPr>
          <w:p>
            <w:pPr>
              <w:spacing w:after="0"/>
              <w:rPr>
                <w:sz w:val="20"/>
                <w:szCs w:val="20"/>
                <w:color w:val="auto"/>
              </w:rPr>
            </w:pPr>
          </w:p>
        </w:tc>
        <w:tc>
          <w:tcPr>
            <w:tcW w:w="46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426</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Clinical research</w:t>
            </w:r>
          </w:p>
        </w:tc>
        <w:tc>
          <w:tcPr>
            <w:tcW w:w="4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11,095</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Total</w:t>
            </w:r>
          </w:p>
        </w:tc>
        <w:tc>
          <w:tcPr>
            <w:tcW w:w="46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11,521</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80" w:type="dxa"/>
            <w:vAlign w:val="bottom"/>
            <w:tcBorders>
              <w:bottom w:val="single" w:sz="8" w:color="auto"/>
            </w:tcBorders>
          </w:tcPr>
          <w:p>
            <w:pPr>
              <w:spacing w:after="0" w:line="172" w:lineRule="exact"/>
              <w:rPr>
                <w:sz w:val="20"/>
                <w:szCs w:val="20"/>
                <w:color w:val="auto"/>
              </w:rPr>
            </w:pPr>
            <w:r>
              <w:rPr>
                <w:rFonts w:ascii="Arial" w:cs="Arial" w:eastAsia="Arial" w:hAnsi="Arial"/>
                <w:sz w:val="18"/>
                <w:szCs w:val="18"/>
                <w:b w:val="1"/>
                <w:bCs w:val="1"/>
                <w:color w:val="auto"/>
                <w:w w:val="87"/>
              </w:rPr>
              <w:t>Interest Income</w:t>
            </w:r>
          </w:p>
        </w:tc>
        <w:tc>
          <w:tcPr>
            <w:tcW w:w="3020" w:type="dxa"/>
            <w:vAlign w:val="bottom"/>
            <w:gridSpan w:val="4"/>
          </w:tcPr>
          <w:p>
            <w:pPr>
              <w:spacing w:after="0"/>
              <w:rPr>
                <w:sz w:val="14"/>
                <w:szCs w:val="14"/>
                <w:color w:val="auto"/>
              </w:rPr>
            </w:pPr>
          </w:p>
        </w:tc>
        <w:tc>
          <w:tcPr>
            <w:tcW w:w="4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46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Clinical research</w:t>
            </w:r>
          </w:p>
        </w:tc>
        <w:tc>
          <w:tcPr>
            <w:tcW w:w="4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1,148</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Total</w:t>
            </w:r>
          </w:p>
        </w:tc>
        <w:tc>
          <w:tcPr>
            <w:tcW w:w="46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1,151</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600" w:type="dxa"/>
            <w:vAlign w:val="bottom"/>
          </w:tcPr>
          <w:p>
            <w:pPr>
              <w:jc w:val="right"/>
              <w:ind w:right="2932"/>
              <w:spacing w:after="0"/>
              <w:rPr>
                <w:sz w:val="20"/>
                <w:szCs w:val="20"/>
                <w:color w:val="auto"/>
              </w:rPr>
            </w:pPr>
            <w:r>
              <w:rPr>
                <w:rFonts w:ascii="Arial" w:cs="Arial" w:eastAsia="Arial" w:hAnsi="Arial"/>
                <w:sz w:val="18"/>
                <w:szCs w:val="18"/>
                <w:color w:val="auto"/>
              </w:rPr>
              <w:t>34</w:t>
            </w: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2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1. Segmental information </w:t>
            </w:r>
            <w:r>
              <w:rPr>
                <w:rFonts w:ascii="Arial" w:cs="Arial" w:eastAsia="Arial" w:hAnsi="Arial"/>
                <w:sz w:val="18"/>
                <w:szCs w:val="18"/>
                <w:b w:val="1"/>
                <w:bCs w:val="1"/>
                <w:i w:val="1"/>
                <w:iCs w:val="1"/>
                <w:color w:val="auto"/>
              </w:rPr>
              <w:t>(continued)</w:t>
            </w:r>
          </w:p>
        </w:tc>
        <w:tc>
          <w:tcPr>
            <w:tcW w:w="5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980" w:type="dxa"/>
            <w:vAlign w:val="bottom"/>
          </w:tcPr>
          <w:p>
            <w:pPr>
              <w:jc w:val="right"/>
              <w:ind w:right="152"/>
              <w:spacing w:after="0"/>
              <w:rPr>
                <w:sz w:val="20"/>
                <w:szCs w:val="20"/>
                <w:color w:val="auto"/>
              </w:rPr>
            </w:pPr>
            <w:r>
              <w:rPr>
                <w:rFonts w:ascii="Arial" w:cs="Arial" w:eastAsia="Arial" w:hAnsi="Arial"/>
                <w:sz w:val="18"/>
                <w:szCs w:val="18"/>
                <w:b w:val="1"/>
                <w:bCs w:val="1"/>
                <w:color w:val="auto"/>
              </w:rPr>
              <w:t>(US GAAP)</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(US GAAP)</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980" w:type="dxa"/>
            <w:vAlign w:val="bottom"/>
          </w:tcPr>
          <w:p>
            <w:pPr>
              <w:jc w:val="right"/>
              <w:ind w:right="152"/>
              <w:spacing w:after="0"/>
              <w:rPr>
                <w:sz w:val="20"/>
                <w:szCs w:val="20"/>
                <w:color w:val="auto"/>
              </w:rPr>
            </w:pPr>
            <w:r>
              <w:rPr>
                <w:rFonts w:ascii="Arial" w:cs="Arial" w:eastAsia="Arial" w:hAnsi="Arial"/>
                <w:sz w:val="18"/>
                <w:szCs w:val="18"/>
                <w:b w:val="1"/>
                <w:bCs w:val="1"/>
                <w:color w:val="auto"/>
              </w:rPr>
              <w:t>Year ended</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98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98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98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0"/>
        </w:trPr>
        <w:tc>
          <w:tcPr>
            <w:tcW w:w="4220" w:type="dxa"/>
            <w:vAlign w:val="bottom"/>
            <w:gridSpan w:val="8"/>
          </w:tcPr>
          <w:p>
            <w:pPr>
              <w:spacing w:after="0" w:line="200" w:lineRule="exact"/>
              <w:rPr>
                <w:sz w:val="20"/>
                <w:szCs w:val="20"/>
                <w:color w:val="auto"/>
              </w:rPr>
            </w:pPr>
            <w:r>
              <w:rPr>
                <w:rFonts w:ascii="Arial" w:cs="Arial" w:eastAsia="Arial" w:hAnsi="Arial"/>
                <w:sz w:val="18"/>
                <w:szCs w:val="18"/>
                <w:b w:val="1"/>
                <w:bCs w:val="1"/>
                <w:color w:val="auto"/>
              </w:rPr>
              <w:t>Interest Expense</w:t>
            </w:r>
          </w:p>
        </w:tc>
        <w:tc>
          <w:tcPr>
            <w:tcW w:w="5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42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59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Clinical research</w:t>
            </w:r>
          </w:p>
        </w:tc>
        <w:tc>
          <w:tcPr>
            <w:tcW w:w="5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1,947</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0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Total</w:t>
            </w:r>
          </w:p>
        </w:tc>
        <w:tc>
          <w:tcPr>
            <w:tcW w:w="5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1,947</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gridSpan w:val="8"/>
          </w:tcPr>
          <w:p>
            <w:pPr>
              <w:spacing w:after="0" w:line="199" w:lineRule="exact"/>
              <w:rPr>
                <w:sz w:val="20"/>
                <w:szCs w:val="20"/>
                <w:color w:val="auto"/>
              </w:rPr>
            </w:pPr>
            <w:r>
              <w:rPr>
                <w:rFonts w:ascii="Arial" w:cs="Arial" w:eastAsia="Arial" w:hAnsi="Arial"/>
                <w:sz w:val="18"/>
                <w:szCs w:val="18"/>
                <w:b w:val="1"/>
                <w:bCs w:val="1"/>
                <w:color w:val="auto"/>
              </w:rPr>
              <w:t>Provision for income taxes</w:t>
            </w:r>
          </w:p>
        </w:tc>
        <w:tc>
          <w:tcPr>
            <w:tcW w:w="5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980" w:type="dxa"/>
            <w:vAlign w:val="bottom"/>
            <w:tcBorders>
              <w:top w:val="single" w:sz="8" w:color="auto"/>
            </w:tcBorders>
            <w:gridSpan w:val="6"/>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2220" w:type="dxa"/>
            <w:vAlign w:val="bottom"/>
            <w:shd w:val="clear" w:color="auto" w:fill="CCEEFF"/>
          </w:tcPr>
          <w:p>
            <w:pPr>
              <w:spacing w:after="0"/>
              <w:rPr>
                <w:sz w:val="20"/>
                <w:szCs w:val="20"/>
                <w:color w:val="auto"/>
              </w:rPr>
            </w:pPr>
          </w:p>
        </w:tc>
        <w:tc>
          <w:tcPr>
            <w:tcW w:w="59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(3,169)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Clinical research</w:t>
            </w:r>
          </w:p>
        </w:tc>
        <w:tc>
          <w:tcPr>
            <w:tcW w:w="5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14,970</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6,290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0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Total</w:t>
            </w:r>
          </w:p>
        </w:tc>
        <w:tc>
          <w:tcPr>
            <w:tcW w:w="5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11,801</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gridSpan w:val="8"/>
          </w:tcPr>
          <w:p>
            <w:pPr>
              <w:spacing w:after="0" w:line="199" w:lineRule="exact"/>
              <w:rPr>
                <w:sz w:val="20"/>
                <w:szCs w:val="20"/>
                <w:color w:val="auto"/>
              </w:rPr>
            </w:pPr>
            <w:r>
              <w:rPr>
                <w:rFonts w:ascii="Arial" w:cs="Arial" w:eastAsia="Arial" w:hAnsi="Arial"/>
                <w:sz w:val="18"/>
                <w:szCs w:val="18"/>
                <w:b w:val="1"/>
                <w:bCs w:val="1"/>
                <w:color w:val="auto"/>
              </w:rPr>
              <w:t>Total assets</w:t>
            </w:r>
          </w:p>
        </w:tc>
        <w:tc>
          <w:tcPr>
            <w:tcW w:w="5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42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59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73,304</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54,361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Clinical research</w:t>
            </w:r>
          </w:p>
        </w:tc>
        <w:tc>
          <w:tcPr>
            <w:tcW w:w="5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1,128,804</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973,156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0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Total</w:t>
            </w:r>
          </w:p>
        </w:tc>
        <w:tc>
          <w:tcPr>
            <w:tcW w:w="5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1,202,108</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1,027,517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gridSpan w:val="8"/>
          </w:tcPr>
          <w:p>
            <w:pPr>
              <w:spacing w:after="0" w:line="199" w:lineRule="exact"/>
              <w:rPr>
                <w:sz w:val="20"/>
                <w:szCs w:val="20"/>
                <w:color w:val="auto"/>
              </w:rPr>
            </w:pPr>
            <w:r>
              <w:rPr>
                <w:rFonts w:ascii="Arial" w:cs="Arial" w:eastAsia="Arial" w:hAnsi="Arial"/>
                <w:sz w:val="18"/>
                <w:szCs w:val="18"/>
                <w:b w:val="1"/>
                <w:bCs w:val="1"/>
                <w:color w:val="auto"/>
              </w:rPr>
              <w:t>Total liabilities</w:t>
            </w:r>
          </w:p>
        </w:tc>
        <w:tc>
          <w:tcPr>
            <w:tcW w:w="5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42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59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14,841</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12,508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Clinical research</w:t>
            </w:r>
          </w:p>
        </w:tc>
        <w:tc>
          <w:tcPr>
            <w:tcW w:w="5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432,692</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333,465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0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Total</w:t>
            </w:r>
          </w:p>
        </w:tc>
        <w:tc>
          <w:tcPr>
            <w:tcW w:w="5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447,533</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345,973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gridSpan w:val="8"/>
          </w:tcPr>
          <w:p>
            <w:pPr>
              <w:spacing w:after="0" w:line="199" w:lineRule="exact"/>
              <w:rPr>
                <w:sz w:val="20"/>
                <w:szCs w:val="20"/>
                <w:color w:val="auto"/>
              </w:rPr>
            </w:pPr>
            <w:r>
              <w:rPr>
                <w:rFonts w:ascii="Arial" w:cs="Arial" w:eastAsia="Arial" w:hAnsi="Arial"/>
                <w:sz w:val="18"/>
                <w:szCs w:val="18"/>
                <w:b w:val="1"/>
                <w:bCs w:val="1"/>
                <w:color w:val="auto"/>
              </w:rPr>
              <w:t>Capital expenditure</w:t>
            </w:r>
          </w:p>
        </w:tc>
        <w:tc>
          <w:tcPr>
            <w:tcW w:w="5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8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2720" w:type="dxa"/>
            <w:vAlign w:val="bottom"/>
            <w:gridSpan w:val="2"/>
            <w:shd w:val="clear" w:color="auto" w:fill="CCEEFF"/>
          </w:tcPr>
          <w:p>
            <w:pPr>
              <w:spacing w:after="0"/>
              <w:rPr>
                <w:sz w:val="20"/>
                <w:szCs w:val="20"/>
                <w:color w:val="auto"/>
              </w:rPr>
            </w:pPr>
          </w:p>
        </w:tc>
        <w:tc>
          <w:tcPr>
            <w:tcW w:w="59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2,375</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Clinical research</w:t>
            </w:r>
          </w:p>
        </w:tc>
        <w:tc>
          <w:tcPr>
            <w:tcW w:w="5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30,651</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34,556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420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Total</w:t>
            </w:r>
          </w:p>
        </w:tc>
        <w:tc>
          <w:tcPr>
            <w:tcW w:w="5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33,026</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220" w:type="dxa"/>
            <w:vAlign w:val="bottom"/>
            <w:gridSpan w:val="8"/>
          </w:tcPr>
          <w:p>
            <w:pPr>
              <w:spacing w:after="0"/>
              <w:rPr>
                <w:sz w:val="20"/>
                <w:szCs w:val="20"/>
                <w:color w:val="auto"/>
              </w:rPr>
            </w:pPr>
            <w:r>
              <w:rPr>
                <w:rFonts w:ascii="Arial" w:cs="Arial" w:eastAsia="Arial" w:hAnsi="Arial"/>
                <w:sz w:val="18"/>
                <w:szCs w:val="18"/>
                <w:i w:val="1"/>
                <w:iCs w:val="1"/>
                <w:color w:val="auto"/>
              </w:rPr>
              <w:t>Geographical segment information</w:t>
            </w:r>
          </w:p>
        </w:tc>
        <w:tc>
          <w:tcPr>
            <w:tcW w:w="5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980" w:type="dxa"/>
            <w:vAlign w:val="bottom"/>
          </w:tcPr>
          <w:p>
            <w:pPr>
              <w:jc w:val="right"/>
              <w:ind w:right="152"/>
              <w:spacing w:after="0"/>
              <w:rPr>
                <w:sz w:val="20"/>
                <w:szCs w:val="20"/>
                <w:color w:val="auto"/>
              </w:rPr>
            </w:pPr>
            <w:r>
              <w:rPr>
                <w:rFonts w:ascii="Arial" w:cs="Arial" w:eastAsia="Arial" w:hAnsi="Arial"/>
                <w:sz w:val="18"/>
                <w:szCs w:val="18"/>
                <w:b w:val="1"/>
                <w:bCs w:val="1"/>
                <w:color w:val="auto"/>
              </w:rPr>
              <w:t>(EU IFRS)</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(EU IFRS)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980" w:type="dxa"/>
            <w:vAlign w:val="bottom"/>
          </w:tcPr>
          <w:p>
            <w:pPr>
              <w:jc w:val="right"/>
              <w:ind w:right="152"/>
              <w:spacing w:after="0"/>
              <w:rPr>
                <w:sz w:val="20"/>
                <w:szCs w:val="20"/>
                <w:color w:val="auto"/>
              </w:rPr>
            </w:pPr>
            <w:r>
              <w:rPr>
                <w:rFonts w:ascii="Arial" w:cs="Arial" w:eastAsia="Arial" w:hAnsi="Arial"/>
                <w:sz w:val="18"/>
                <w:szCs w:val="18"/>
                <w:b w:val="1"/>
                <w:bCs w:val="1"/>
                <w:color w:val="auto"/>
              </w:rPr>
              <w:t>Year ended</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98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98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422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External revenue</w:t>
            </w:r>
          </w:p>
        </w:tc>
        <w:tc>
          <w:tcPr>
            <w:tcW w:w="598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73"/>
        </w:trPr>
        <w:tc>
          <w:tcPr>
            <w:tcW w:w="4220" w:type="dxa"/>
            <w:vAlign w:val="bottom"/>
            <w:gridSpan w:val="8"/>
            <w:vMerge w:val="continue"/>
          </w:tcPr>
          <w:p>
            <w:pPr>
              <w:spacing w:after="0"/>
              <w:rPr>
                <w:sz w:val="15"/>
                <w:szCs w:val="15"/>
                <w:color w:val="auto"/>
              </w:rPr>
            </w:pPr>
          </w:p>
        </w:tc>
        <w:tc>
          <w:tcPr>
            <w:tcW w:w="5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8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Ireland</w:t>
            </w:r>
          </w:p>
        </w:tc>
        <w:tc>
          <w:tcPr>
            <w:tcW w:w="2920" w:type="dxa"/>
            <w:vAlign w:val="bottom"/>
            <w:gridSpan w:val="3"/>
            <w:shd w:val="clear" w:color="auto" w:fill="CCEEFF"/>
          </w:tcPr>
          <w:p>
            <w:pPr>
              <w:spacing w:after="0"/>
              <w:rPr>
                <w:sz w:val="20"/>
                <w:szCs w:val="20"/>
                <w:color w:val="auto"/>
              </w:rPr>
            </w:pPr>
          </w:p>
        </w:tc>
        <w:tc>
          <w:tcPr>
            <w:tcW w:w="59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171,977</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88,869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0" w:type="dxa"/>
            <w:vAlign w:val="bottom"/>
            <w:gridSpan w:val="7"/>
          </w:tcPr>
          <w:p>
            <w:pPr>
              <w:spacing w:after="0"/>
              <w:rPr>
                <w:sz w:val="20"/>
                <w:szCs w:val="20"/>
                <w:color w:val="auto"/>
              </w:rPr>
            </w:pPr>
            <w:r>
              <w:rPr>
                <w:rFonts w:ascii="Arial" w:cs="Arial" w:eastAsia="Arial" w:hAnsi="Arial"/>
                <w:sz w:val="18"/>
                <w:szCs w:val="18"/>
                <w:color w:val="auto"/>
              </w:rPr>
              <w:t>Rest of Europe</w:t>
            </w:r>
          </w:p>
        </w:tc>
        <w:tc>
          <w:tcPr>
            <w:tcW w:w="5980" w:type="dxa"/>
            <w:vAlign w:val="bottom"/>
          </w:tcPr>
          <w:p>
            <w:pPr>
              <w:jc w:val="right"/>
              <w:ind w:right="152"/>
              <w:spacing w:after="0"/>
              <w:rPr>
                <w:sz w:val="20"/>
                <w:szCs w:val="20"/>
                <w:color w:val="auto"/>
              </w:rPr>
            </w:pPr>
            <w:r>
              <w:rPr>
                <w:rFonts w:ascii="Arial" w:cs="Arial" w:eastAsia="Arial" w:hAnsi="Arial"/>
                <w:sz w:val="18"/>
                <w:szCs w:val="18"/>
                <w:b w:val="1"/>
                <w:bCs w:val="1"/>
                <w:color w:val="auto"/>
              </w:rPr>
              <w:t>338,537</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348,492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9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471,700</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393,957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Rest of World</w:t>
            </w:r>
          </w:p>
        </w:tc>
        <w:tc>
          <w:tcPr>
            <w:tcW w:w="5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132,792</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114,411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0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Total</w:t>
            </w:r>
          </w:p>
        </w:tc>
        <w:tc>
          <w:tcPr>
            <w:tcW w:w="5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1,115,006</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945,729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980" w:type="dxa"/>
            <w:vAlign w:val="bottom"/>
          </w:tcPr>
          <w:p>
            <w:pPr>
              <w:jc w:val="right"/>
              <w:ind w:right="4312"/>
              <w:spacing w:after="0"/>
              <w:rPr>
                <w:sz w:val="20"/>
                <w:szCs w:val="20"/>
                <w:color w:val="auto"/>
              </w:rPr>
            </w:pPr>
            <w:r>
              <w:rPr>
                <w:rFonts w:ascii="Arial" w:cs="Arial" w:eastAsia="Arial" w:hAnsi="Arial"/>
                <w:sz w:val="18"/>
                <w:szCs w:val="18"/>
                <w:color w:val="auto"/>
              </w:rPr>
              <w:t>35</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1. Segmental information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tc>
        <w:tc>
          <w:tcPr>
            <w:tcW w:w="1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b w:val="1"/>
                <w:bCs w:val="1"/>
                <w:color w:val="auto"/>
              </w:rPr>
              <w:t>(EU IFRS)</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(EU IFRS)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8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Non-current assets</w:t>
            </w:r>
          </w:p>
        </w:tc>
        <w:tc>
          <w:tcPr>
            <w:tcW w:w="142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73"/>
        </w:trPr>
        <w:tc>
          <w:tcPr>
            <w:tcW w:w="8740" w:type="dxa"/>
            <w:vAlign w:val="bottom"/>
            <w:gridSpan w:val="3"/>
            <w:vMerge w:val="continue"/>
          </w:tcPr>
          <w:p>
            <w:pPr>
              <w:spacing w:after="0"/>
              <w:rPr>
                <w:sz w:val="15"/>
                <w:szCs w:val="15"/>
                <w:color w:val="auto"/>
              </w:rPr>
            </w:pP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Ireland</w:t>
            </w:r>
          </w:p>
        </w:tc>
        <w:tc>
          <w:tcPr>
            <w:tcW w:w="73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172,729</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173,881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20" w:type="dxa"/>
            <w:vAlign w:val="bottom"/>
          </w:tcPr>
          <w:p>
            <w:pPr>
              <w:jc w:val="right"/>
              <w:ind w:right="112"/>
              <w:spacing w:after="0"/>
              <w:rPr>
                <w:sz w:val="20"/>
                <w:szCs w:val="20"/>
                <w:color w:val="auto"/>
              </w:rPr>
            </w:pPr>
            <w:r>
              <w:rPr>
                <w:rFonts w:ascii="Arial" w:cs="Arial" w:eastAsia="Arial" w:hAnsi="Arial"/>
                <w:sz w:val="18"/>
                <w:szCs w:val="18"/>
                <w:b w:val="1"/>
                <w:bCs w:val="1"/>
                <w:color w:val="auto"/>
              </w:rPr>
              <w:t>133,066</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130,493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2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222,892</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163,485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Rest of World</w:t>
            </w:r>
          </w:p>
        </w:tc>
        <w:tc>
          <w:tcPr>
            <w:tcW w:w="14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29,574</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13,391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8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14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558,261</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481,250</w:t>
            </w: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72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w w:val="91"/>
              </w:rPr>
              <w:t>Certain reclassifications have been made to prior year comparatives to be consistent with the current year presentation.</w:t>
            </w:r>
          </w:p>
        </w:tc>
        <w:tc>
          <w:tcPr>
            <w:tcW w:w="14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customers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clients which represented 10% or more of the Group's net revenue in each of the periods set out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5420" w:type="dxa"/>
            <w:vAlign w:val="bottom"/>
          </w:tcPr>
          <w:p>
            <w:pPr>
              <w:jc w:val="right"/>
              <w:ind w:right="72"/>
              <w:spacing w:after="0"/>
              <w:rPr>
                <w:sz w:val="20"/>
                <w:szCs w:val="20"/>
                <w:color w:val="auto"/>
              </w:rPr>
            </w:pPr>
            <w:r>
              <w:rPr>
                <w:rFonts w:ascii="Arial" w:cs="Arial" w:eastAsia="Arial" w:hAnsi="Arial"/>
                <w:sz w:val="18"/>
                <w:szCs w:val="18"/>
                <w:b w:val="1"/>
                <w:bCs w:val="1"/>
                <w:color w:val="auto"/>
              </w:rPr>
              <w:t>31 December</w:t>
            </w: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31 December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5420" w:type="dxa"/>
            <w:vAlign w:val="bottom"/>
          </w:tcPr>
          <w:p>
            <w:pPr>
              <w:jc w:val="right"/>
              <w:ind w:right="72"/>
              <w:spacing w:after="0"/>
              <w:rPr>
                <w:sz w:val="20"/>
                <w:szCs w:val="20"/>
                <w:color w:val="auto"/>
              </w:rPr>
            </w:pPr>
            <w:r>
              <w:rPr>
                <w:rFonts w:ascii="Arial" w:cs="Arial" w:eastAsia="Arial" w:hAnsi="Arial"/>
                <w:sz w:val="18"/>
                <w:szCs w:val="18"/>
                <w:b w:val="1"/>
                <w:bCs w:val="1"/>
                <w:color w:val="auto"/>
              </w:rPr>
              <w:t>2012</w:t>
            </w:r>
          </w:p>
        </w:tc>
        <w:tc>
          <w:tcPr>
            <w:tcW w:w="1100" w:type="dxa"/>
            <w:vAlign w:val="bottom"/>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Client A</w:t>
            </w:r>
          </w:p>
        </w:tc>
        <w:tc>
          <w:tcPr>
            <w:tcW w:w="54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488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Client B</w:t>
            </w:r>
          </w:p>
        </w:tc>
        <w:tc>
          <w:tcPr>
            <w:tcW w:w="54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bl>
    <w:p>
      <w:pPr>
        <w:ind w:left="460" w:hanging="136"/>
        <w:spacing w:after="0"/>
        <w:tabs>
          <w:tab w:leader="none" w:pos="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Net revenue did not exceed 10%.</w:t>
      </w:r>
    </w:p>
    <w:p>
      <w:pPr>
        <w:spacing w:after="0" w:line="225" w:lineRule="exact"/>
        <w:rPr>
          <w:rFonts w:ascii="Arial" w:cs="Arial" w:eastAsia="Arial" w:hAnsi="Arial"/>
          <w:sz w:val="18"/>
          <w:szCs w:val="18"/>
          <w:color w:val="auto"/>
        </w:rPr>
      </w:pPr>
    </w:p>
    <w:p>
      <w:pPr>
        <w:ind w:left="180" w:hanging="174"/>
        <w:spacing w:after="0"/>
        <w:tabs>
          <w:tab w:leader="none" w:pos="1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Profit before taxation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Profit before taxation is stated after charging the following: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76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Year ended 31 December 2012</w:t>
            </w:r>
          </w:p>
        </w:tc>
        <w:tc>
          <w:tcPr>
            <w:tcW w:w="1040" w:type="dxa"/>
            <w:vAlign w:val="bottom"/>
          </w:tcPr>
          <w:p>
            <w:pPr>
              <w:spacing w:after="0"/>
              <w:rPr>
                <w:sz w:val="18"/>
                <w:szCs w:val="18"/>
                <w:color w:val="auto"/>
              </w:rPr>
            </w:pPr>
          </w:p>
        </w:tc>
        <w:tc>
          <w:tcPr>
            <w:tcW w:w="3000" w:type="dxa"/>
            <w:vAlign w:val="bottom"/>
            <w:gridSpan w:val="2"/>
          </w:tcPr>
          <w:p>
            <w:pPr>
              <w:jc w:val="right"/>
              <w:ind w:right="112"/>
              <w:spacing w:after="0"/>
              <w:rPr>
                <w:sz w:val="20"/>
                <w:szCs w:val="20"/>
                <w:color w:val="auto"/>
              </w:rPr>
            </w:pPr>
            <w:r>
              <w:rPr>
                <w:rFonts w:ascii="Arial" w:cs="Arial" w:eastAsia="Arial" w:hAnsi="Arial"/>
                <w:sz w:val="18"/>
                <w:szCs w:val="18"/>
                <w:color w:val="auto"/>
              </w:rPr>
              <w:t>Year ended 31 December 2011</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920" w:type="dxa"/>
            <w:vAlign w:val="bottom"/>
          </w:tcPr>
          <w:p>
            <w:pPr>
              <w:jc w:val="right"/>
              <w:ind w:right="252"/>
              <w:spacing w:after="0"/>
              <w:rPr>
                <w:sz w:val="20"/>
                <w:szCs w:val="20"/>
                <w:color w:val="auto"/>
              </w:rPr>
            </w:pPr>
            <w:r>
              <w:rPr>
                <w:rFonts w:ascii="Arial" w:cs="Arial" w:eastAsia="Arial" w:hAnsi="Arial"/>
                <w:sz w:val="18"/>
                <w:szCs w:val="18"/>
                <w:b w:val="1"/>
                <w:bCs w:val="1"/>
                <w:color w:val="auto"/>
              </w:rPr>
              <w:t>Group</w:t>
            </w:r>
          </w:p>
        </w:tc>
        <w:tc>
          <w:tcPr>
            <w:tcW w:w="1840" w:type="dxa"/>
            <w:vAlign w:val="bottom"/>
          </w:tcPr>
          <w:p>
            <w:pPr>
              <w:jc w:val="right"/>
              <w:ind w:right="692"/>
              <w:spacing w:after="0"/>
              <w:rPr>
                <w:sz w:val="20"/>
                <w:szCs w:val="20"/>
                <w:color w:val="auto"/>
              </w:rPr>
            </w:pPr>
            <w:r>
              <w:rPr>
                <w:rFonts w:ascii="Arial" w:cs="Arial" w:eastAsia="Arial" w:hAnsi="Arial"/>
                <w:sz w:val="18"/>
                <w:szCs w:val="18"/>
                <w:b w:val="1"/>
                <w:bCs w:val="1"/>
                <w:color w:val="auto"/>
              </w:rPr>
              <w:t>Affiliated</w:t>
            </w:r>
          </w:p>
        </w:tc>
        <w:tc>
          <w:tcPr>
            <w:tcW w:w="1040" w:type="dxa"/>
            <w:vAlign w:val="bottom"/>
          </w:tcPr>
          <w:p>
            <w:pPr>
              <w:jc w:val="right"/>
              <w:ind w:right="332"/>
              <w:spacing w:after="0"/>
              <w:rPr>
                <w:sz w:val="20"/>
                <w:szCs w:val="20"/>
                <w:color w:val="auto"/>
              </w:rPr>
            </w:pPr>
            <w:r>
              <w:rPr>
                <w:rFonts w:ascii="Arial" w:cs="Arial" w:eastAsia="Arial" w:hAnsi="Arial"/>
                <w:sz w:val="18"/>
                <w:szCs w:val="18"/>
                <w:b w:val="1"/>
                <w:bCs w:val="1"/>
                <w:color w:val="auto"/>
              </w:rPr>
              <w:t>Total</w:t>
            </w: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Group</w:t>
            </w:r>
          </w:p>
        </w:tc>
        <w:tc>
          <w:tcPr>
            <w:tcW w:w="1740" w:type="dxa"/>
            <w:vAlign w:val="bottom"/>
          </w:tcPr>
          <w:p>
            <w:pPr>
              <w:jc w:val="right"/>
              <w:ind w:right="632"/>
              <w:spacing w:after="0"/>
              <w:rPr>
                <w:sz w:val="20"/>
                <w:szCs w:val="20"/>
                <w:color w:val="auto"/>
              </w:rPr>
            </w:pPr>
            <w:r>
              <w:rPr>
                <w:rFonts w:ascii="Arial" w:cs="Arial" w:eastAsia="Arial" w:hAnsi="Arial"/>
                <w:sz w:val="18"/>
                <w:szCs w:val="18"/>
                <w:color w:val="auto"/>
              </w:rPr>
              <w:t>Affiliated</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920" w:type="dxa"/>
            <w:vAlign w:val="bottom"/>
          </w:tcPr>
          <w:p>
            <w:pPr>
              <w:jc w:val="right"/>
              <w:ind w:right="252"/>
              <w:spacing w:after="0"/>
              <w:rPr>
                <w:sz w:val="20"/>
                <w:szCs w:val="20"/>
                <w:color w:val="auto"/>
              </w:rPr>
            </w:pPr>
            <w:r>
              <w:rPr>
                <w:rFonts w:ascii="Arial" w:cs="Arial" w:eastAsia="Arial" w:hAnsi="Arial"/>
                <w:sz w:val="18"/>
                <w:szCs w:val="18"/>
                <w:b w:val="1"/>
                <w:bCs w:val="1"/>
                <w:color w:val="auto"/>
              </w:rPr>
              <w:t>auditor</w:t>
            </w:r>
          </w:p>
        </w:tc>
        <w:tc>
          <w:tcPr>
            <w:tcW w:w="1840" w:type="dxa"/>
            <w:vAlign w:val="bottom"/>
          </w:tcPr>
          <w:p>
            <w:pPr>
              <w:jc w:val="right"/>
              <w:ind w:right="692"/>
              <w:spacing w:after="0"/>
              <w:rPr>
                <w:sz w:val="20"/>
                <w:szCs w:val="20"/>
                <w:color w:val="auto"/>
              </w:rPr>
            </w:pPr>
            <w:r>
              <w:rPr>
                <w:rFonts w:ascii="Arial" w:cs="Arial" w:eastAsia="Arial" w:hAnsi="Arial"/>
                <w:sz w:val="18"/>
                <w:szCs w:val="18"/>
                <w:b w:val="1"/>
                <w:bCs w:val="1"/>
                <w:color w:val="auto"/>
              </w:rPr>
              <w:t>firms</w:t>
            </w:r>
          </w:p>
        </w:tc>
        <w:tc>
          <w:tcPr>
            <w:tcW w:w="1040" w:type="dxa"/>
            <w:vAlign w:val="bottom"/>
          </w:tcPr>
          <w:p>
            <w:pPr>
              <w:spacing w:after="0"/>
              <w:rPr>
                <w:sz w:val="18"/>
                <w:szCs w:val="18"/>
                <w:color w:val="auto"/>
              </w:rPr>
            </w:pP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auditor</w:t>
            </w:r>
          </w:p>
        </w:tc>
        <w:tc>
          <w:tcPr>
            <w:tcW w:w="1740" w:type="dxa"/>
            <w:vAlign w:val="bottom"/>
          </w:tcPr>
          <w:p>
            <w:pPr>
              <w:jc w:val="right"/>
              <w:ind w:right="632"/>
              <w:spacing w:after="0"/>
              <w:rPr>
                <w:sz w:val="20"/>
                <w:szCs w:val="20"/>
                <w:color w:val="auto"/>
              </w:rPr>
            </w:pPr>
            <w:r>
              <w:rPr>
                <w:rFonts w:ascii="Arial" w:cs="Arial" w:eastAsia="Arial" w:hAnsi="Arial"/>
                <w:sz w:val="18"/>
                <w:szCs w:val="18"/>
                <w:color w:val="auto"/>
              </w:rPr>
              <w:t>firms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Auditors’ remuneration:</w:t>
            </w:r>
          </w:p>
        </w:tc>
        <w:tc>
          <w:tcPr>
            <w:tcW w:w="1920" w:type="dxa"/>
            <w:vAlign w:val="bottom"/>
          </w:tcPr>
          <w:p>
            <w:pPr>
              <w:jc w:val="right"/>
              <w:ind w:right="252"/>
              <w:spacing w:after="0"/>
              <w:rPr>
                <w:sz w:val="20"/>
                <w:szCs w:val="20"/>
                <w:color w:val="auto"/>
              </w:rPr>
            </w:pPr>
            <w:r>
              <w:rPr>
                <w:rFonts w:ascii="Arial" w:cs="Arial" w:eastAsia="Arial" w:hAnsi="Arial"/>
                <w:sz w:val="18"/>
                <w:szCs w:val="18"/>
                <w:b w:val="1"/>
                <w:bCs w:val="1"/>
                <w:color w:val="auto"/>
              </w:rPr>
              <w:t>$’000</w:t>
            </w:r>
          </w:p>
        </w:tc>
        <w:tc>
          <w:tcPr>
            <w:tcW w:w="1840" w:type="dxa"/>
            <w:vAlign w:val="bottom"/>
          </w:tcPr>
          <w:p>
            <w:pPr>
              <w:jc w:val="right"/>
              <w:ind w:right="692"/>
              <w:spacing w:after="0"/>
              <w:rPr>
                <w:sz w:val="20"/>
                <w:szCs w:val="20"/>
                <w:color w:val="auto"/>
              </w:rPr>
            </w:pPr>
            <w:r>
              <w:rPr>
                <w:rFonts w:ascii="Arial" w:cs="Arial" w:eastAsia="Arial" w:hAnsi="Arial"/>
                <w:sz w:val="18"/>
                <w:szCs w:val="18"/>
                <w:b w:val="1"/>
                <w:bCs w:val="1"/>
                <w:color w:val="auto"/>
              </w:rPr>
              <w:t>$’000</w:t>
            </w:r>
          </w:p>
        </w:tc>
        <w:tc>
          <w:tcPr>
            <w:tcW w:w="1040" w:type="dxa"/>
            <w:vAlign w:val="bottom"/>
          </w:tcPr>
          <w:p>
            <w:pPr>
              <w:jc w:val="right"/>
              <w:ind w:right="332"/>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$’000</w:t>
            </w:r>
          </w:p>
        </w:tc>
        <w:tc>
          <w:tcPr>
            <w:tcW w:w="1740" w:type="dxa"/>
            <w:vAlign w:val="bottom"/>
          </w:tcPr>
          <w:p>
            <w:pPr>
              <w:jc w:val="right"/>
              <w:ind w:right="632"/>
              <w:spacing w:after="0"/>
              <w:rPr>
                <w:sz w:val="20"/>
                <w:szCs w:val="20"/>
                <w:color w:val="auto"/>
              </w:rPr>
            </w:pPr>
            <w:r>
              <w:rPr>
                <w:rFonts w:ascii="Arial" w:cs="Arial" w:eastAsia="Arial" w:hAnsi="Arial"/>
                <w:sz w:val="18"/>
                <w:szCs w:val="18"/>
                <w:color w:val="auto"/>
              </w:rPr>
              <w:t>$’000</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2"/>
        </w:trPr>
        <w:tc>
          <w:tcPr>
            <w:tcW w:w="2900" w:type="dxa"/>
            <w:vAlign w:val="bottom"/>
            <w:gridSpan w:val="2"/>
            <w:vMerge w:val="continue"/>
          </w:tcPr>
          <w:p>
            <w:pPr>
              <w:spacing w:after="0"/>
              <w:rPr>
                <w:sz w:val="18"/>
                <w:szCs w:val="18"/>
                <w:color w:val="auto"/>
              </w:rPr>
            </w:pP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Audit fees (1) (2)</w:t>
            </w:r>
          </w:p>
        </w:tc>
        <w:tc>
          <w:tcPr>
            <w:tcW w:w="19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1,116</w:t>
            </w:r>
          </w:p>
        </w:tc>
        <w:tc>
          <w:tcPr>
            <w:tcW w:w="1840" w:type="dxa"/>
            <w:vAlign w:val="bottom"/>
            <w:shd w:val="clear" w:color="auto" w:fill="CCEEFF"/>
          </w:tcPr>
          <w:p>
            <w:pPr>
              <w:jc w:val="right"/>
              <w:ind w:right="692"/>
              <w:spacing w:after="0"/>
              <w:rPr>
                <w:sz w:val="20"/>
                <w:szCs w:val="20"/>
                <w:color w:val="auto"/>
              </w:rPr>
            </w:pPr>
            <w:r>
              <w:rPr>
                <w:rFonts w:ascii="Arial" w:cs="Arial" w:eastAsia="Arial" w:hAnsi="Arial"/>
                <w:sz w:val="18"/>
                <w:szCs w:val="18"/>
                <w:b w:val="1"/>
                <w:bCs w:val="1"/>
                <w:color w:val="auto"/>
              </w:rPr>
              <w:t>395</w:t>
            </w:r>
          </w:p>
        </w:tc>
        <w:tc>
          <w:tcPr>
            <w:tcW w:w="1040" w:type="dxa"/>
            <w:vAlign w:val="bottom"/>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1,511</w:t>
            </w:r>
          </w:p>
        </w:tc>
        <w:tc>
          <w:tcPr>
            <w:tcW w:w="12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1,113</w:t>
            </w:r>
          </w:p>
        </w:tc>
        <w:tc>
          <w:tcPr>
            <w:tcW w:w="174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385</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Other assurance fees (3)</w:t>
            </w:r>
          </w:p>
        </w:tc>
        <w:tc>
          <w:tcPr>
            <w:tcW w:w="1920" w:type="dxa"/>
            <w:vAlign w:val="bottom"/>
          </w:tcPr>
          <w:p>
            <w:pPr>
              <w:jc w:val="right"/>
              <w:ind w:right="252"/>
              <w:spacing w:after="0"/>
              <w:rPr>
                <w:sz w:val="20"/>
                <w:szCs w:val="20"/>
                <w:color w:val="auto"/>
              </w:rPr>
            </w:pPr>
            <w:r>
              <w:rPr>
                <w:rFonts w:ascii="Arial" w:cs="Arial" w:eastAsia="Arial" w:hAnsi="Arial"/>
                <w:sz w:val="18"/>
                <w:szCs w:val="18"/>
                <w:b w:val="1"/>
                <w:bCs w:val="1"/>
                <w:color w:val="auto"/>
              </w:rPr>
              <w:t>23</w:t>
            </w:r>
          </w:p>
        </w:tc>
        <w:tc>
          <w:tcPr>
            <w:tcW w:w="1840" w:type="dxa"/>
            <w:vAlign w:val="bottom"/>
          </w:tcPr>
          <w:p>
            <w:pPr>
              <w:jc w:val="right"/>
              <w:ind w:right="692"/>
              <w:spacing w:after="0"/>
              <w:rPr>
                <w:sz w:val="20"/>
                <w:szCs w:val="20"/>
                <w:color w:val="auto"/>
              </w:rPr>
            </w:pPr>
            <w:r>
              <w:rPr>
                <w:rFonts w:ascii="Arial" w:cs="Arial" w:eastAsia="Arial" w:hAnsi="Arial"/>
                <w:sz w:val="18"/>
                <w:szCs w:val="18"/>
                <w:b w:val="1"/>
                <w:bCs w:val="1"/>
                <w:color w:val="auto"/>
              </w:rPr>
              <w:t>63</w:t>
            </w:r>
          </w:p>
        </w:tc>
        <w:tc>
          <w:tcPr>
            <w:tcW w:w="1040" w:type="dxa"/>
            <w:vAlign w:val="bottom"/>
          </w:tcPr>
          <w:p>
            <w:pPr>
              <w:jc w:val="right"/>
              <w:ind w:right="332"/>
              <w:spacing w:after="0"/>
              <w:rPr>
                <w:sz w:val="20"/>
                <w:szCs w:val="20"/>
                <w:color w:val="auto"/>
              </w:rPr>
            </w:pPr>
            <w:r>
              <w:rPr>
                <w:rFonts w:ascii="Arial" w:cs="Arial" w:eastAsia="Arial" w:hAnsi="Arial"/>
                <w:sz w:val="18"/>
                <w:szCs w:val="18"/>
                <w:b w:val="1"/>
                <w:bCs w:val="1"/>
                <w:color w:val="auto"/>
              </w:rPr>
              <w:t>86</w:t>
            </w: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22</w:t>
            </w:r>
          </w:p>
        </w:tc>
        <w:tc>
          <w:tcPr>
            <w:tcW w:w="1740" w:type="dxa"/>
            <w:vAlign w:val="bottom"/>
          </w:tcPr>
          <w:p>
            <w:pPr>
              <w:jc w:val="right"/>
              <w:ind w:right="632"/>
              <w:spacing w:after="0"/>
              <w:rPr>
                <w:sz w:val="20"/>
                <w:szCs w:val="20"/>
                <w:color w:val="auto"/>
              </w:rPr>
            </w:pPr>
            <w:r>
              <w:rPr>
                <w:rFonts w:ascii="Arial" w:cs="Arial" w:eastAsia="Arial" w:hAnsi="Arial"/>
                <w:sz w:val="18"/>
                <w:szCs w:val="18"/>
                <w:color w:val="auto"/>
              </w:rPr>
              <w:t>109</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Tax advisory fees (4)</w:t>
            </w:r>
          </w:p>
        </w:tc>
        <w:tc>
          <w:tcPr>
            <w:tcW w:w="19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478</w:t>
            </w:r>
          </w:p>
        </w:tc>
        <w:tc>
          <w:tcPr>
            <w:tcW w:w="1840" w:type="dxa"/>
            <w:vAlign w:val="bottom"/>
            <w:shd w:val="clear" w:color="auto" w:fill="CCEEFF"/>
          </w:tcPr>
          <w:p>
            <w:pPr>
              <w:jc w:val="right"/>
              <w:ind w:right="692"/>
              <w:spacing w:after="0"/>
              <w:rPr>
                <w:sz w:val="20"/>
                <w:szCs w:val="20"/>
                <w:color w:val="auto"/>
              </w:rPr>
            </w:pPr>
            <w:r>
              <w:rPr>
                <w:rFonts w:ascii="Arial" w:cs="Arial" w:eastAsia="Arial" w:hAnsi="Arial"/>
                <w:sz w:val="18"/>
                <w:szCs w:val="18"/>
                <w:b w:val="1"/>
                <w:bCs w:val="1"/>
                <w:color w:val="auto"/>
              </w:rPr>
              <w:t>92</w:t>
            </w:r>
          </w:p>
        </w:tc>
        <w:tc>
          <w:tcPr>
            <w:tcW w:w="1040" w:type="dxa"/>
            <w:vAlign w:val="bottom"/>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570</w:t>
            </w:r>
          </w:p>
        </w:tc>
        <w:tc>
          <w:tcPr>
            <w:tcW w:w="12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457</w:t>
            </w:r>
          </w:p>
        </w:tc>
        <w:tc>
          <w:tcPr>
            <w:tcW w:w="174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205</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non-audit fees (5)</w:t>
            </w:r>
          </w:p>
        </w:tc>
        <w:tc>
          <w:tcPr>
            <w:tcW w:w="19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23</w:t>
            </w:r>
          </w:p>
        </w:tc>
        <w:tc>
          <w:tcPr>
            <w:tcW w:w="184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23</w:t>
            </w: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160</w:t>
            </w:r>
          </w:p>
        </w:tc>
        <w:tc>
          <w:tcPr>
            <w:tcW w:w="174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fees</w:t>
            </w:r>
          </w:p>
        </w:tc>
        <w:tc>
          <w:tcPr>
            <w:tcW w:w="19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1,640</w:t>
            </w:r>
          </w:p>
        </w:tc>
        <w:tc>
          <w:tcPr>
            <w:tcW w:w="184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b w:val="1"/>
                <w:bCs w:val="1"/>
                <w:color w:val="auto"/>
              </w:rPr>
              <w:t>550</w:t>
            </w: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2,190</w:t>
            </w: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1,752</w:t>
            </w:r>
          </w:p>
        </w:tc>
        <w:tc>
          <w:tcPr>
            <w:tcW w:w="174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color w:val="auto"/>
              </w:rPr>
              <w:t>699</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360" w:hanging="354"/>
        <w:spacing w:after="0"/>
        <w:tabs>
          <w:tab w:leader="none" w:pos="3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Audit fees include annual audit fees for ICON plc and companies based in Ireland and the US.</w:t>
      </w:r>
    </w:p>
    <w:p>
      <w:pPr>
        <w:spacing w:after="0" w:line="16" w:lineRule="exact"/>
        <w:rPr>
          <w:rFonts w:ascii="Arial" w:cs="Arial" w:eastAsia="Arial" w:hAnsi="Arial"/>
          <w:sz w:val="18"/>
          <w:szCs w:val="18"/>
          <w:i w:val="1"/>
          <w:iCs w:val="1"/>
          <w:color w:val="auto"/>
        </w:rPr>
      </w:pPr>
    </w:p>
    <w:p>
      <w:pPr>
        <w:ind w:left="360" w:hanging="354"/>
        <w:spacing w:after="0"/>
        <w:tabs>
          <w:tab w:leader="none" w:pos="3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Audit fees for the Company for the year is set at $30,000 (2011: $30,000)</w:t>
      </w:r>
    </w:p>
    <w:p>
      <w:pPr>
        <w:spacing w:after="0" w:line="5" w:lineRule="exact"/>
        <w:rPr>
          <w:rFonts w:ascii="Arial" w:cs="Arial" w:eastAsia="Arial" w:hAnsi="Arial"/>
          <w:sz w:val="18"/>
          <w:szCs w:val="18"/>
          <w:i w:val="1"/>
          <w:iCs w:val="1"/>
          <w:color w:val="auto"/>
        </w:rPr>
      </w:pPr>
    </w:p>
    <w:p>
      <w:pPr>
        <w:ind w:left="360" w:hanging="354"/>
        <w:spacing w:after="0"/>
        <w:tabs>
          <w:tab w:leader="none" w:pos="360" w:val="left"/>
        </w:tabs>
        <w:numPr>
          <w:ilvl w:val="0"/>
          <w:numId w:val="21"/>
        </w:numPr>
        <w:rPr>
          <w:rFonts w:ascii="Arial" w:cs="Arial" w:eastAsia="Arial" w:hAnsi="Arial"/>
          <w:sz w:val="28"/>
          <w:szCs w:val="28"/>
          <w:i w:val="1"/>
          <w:iCs w:val="1"/>
          <w:color w:val="auto"/>
          <w:vertAlign w:val="subscript"/>
        </w:rPr>
      </w:pPr>
      <w:r>
        <w:rPr>
          <w:rFonts w:ascii="Arial" w:cs="Arial" w:eastAsia="Arial" w:hAnsi="Arial"/>
          <w:sz w:val="15"/>
          <w:szCs w:val="15"/>
          <w:i w:val="1"/>
          <w:iCs w:val="1"/>
          <w:color w:val="auto"/>
        </w:rPr>
        <w:t>Other</w:t>
      </w:r>
      <w:r>
        <w:rPr>
          <w:rFonts w:ascii="Arial" w:cs="Arial" w:eastAsia="Arial" w:hAnsi="Arial"/>
          <w:sz w:val="28"/>
          <w:szCs w:val="28"/>
          <w:i w:val="1"/>
          <w:iCs w:val="1"/>
          <w:color w:val="auto"/>
          <w:vertAlign w:val="subscript"/>
        </w:rPr>
        <w:t>plans.</w:t>
      </w:r>
      <w:r>
        <w:rPr>
          <w:rFonts w:ascii="Arial" w:cs="Arial" w:eastAsia="Arial" w:hAnsi="Arial"/>
          <w:sz w:val="15"/>
          <w:szCs w:val="15"/>
          <w:i w:val="1"/>
          <w:iCs w:val="1"/>
          <w:color w:val="auto"/>
        </w:rPr>
        <w:t xml:space="preserve"> assurance fees principally consist of fees for the audit of remaining subsidiaries and fees for the audit of the financial statements of employee benefit</w:t>
      </w:r>
    </w:p>
    <w:p>
      <w:pPr>
        <w:spacing w:after="0" w:line="102" w:lineRule="exact"/>
        <w:rPr>
          <w:rFonts w:ascii="Arial" w:cs="Arial" w:eastAsia="Arial" w:hAnsi="Arial"/>
          <w:sz w:val="28"/>
          <w:szCs w:val="28"/>
          <w:i w:val="1"/>
          <w:iCs w:val="1"/>
          <w:color w:val="auto"/>
          <w:vertAlign w:val="subscript"/>
        </w:rPr>
      </w:pPr>
    </w:p>
    <w:p>
      <w:pPr>
        <w:ind w:left="360" w:hanging="354"/>
        <w:spacing w:after="0"/>
        <w:tabs>
          <w:tab w:leader="none" w:pos="3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Tax advisory fees are for tax compliance and tax advisory services.</w:t>
      </w:r>
    </w:p>
    <w:p>
      <w:pPr>
        <w:spacing w:after="0" w:line="5" w:lineRule="exact"/>
        <w:rPr>
          <w:rFonts w:ascii="Arial" w:cs="Arial" w:eastAsia="Arial" w:hAnsi="Arial"/>
          <w:sz w:val="18"/>
          <w:szCs w:val="18"/>
          <w:i w:val="1"/>
          <w:iCs w:val="1"/>
          <w:color w:val="auto"/>
        </w:rPr>
      </w:pPr>
    </w:p>
    <w:p>
      <w:pPr>
        <w:ind w:left="360" w:hanging="354"/>
        <w:spacing w:after="0"/>
        <w:tabs>
          <w:tab w:leader="none" w:pos="3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Other non-audit fee principally consist of fees for financial due diligence.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2. Profit before taxation </w:t>
            </w:r>
            <w:r>
              <w:rPr>
                <w:rFonts w:ascii="Arial" w:cs="Arial" w:eastAsia="Arial" w:hAnsi="Arial"/>
                <w:sz w:val="18"/>
                <w:szCs w:val="18"/>
                <w:b w:val="1"/>
                <w:bCs w:val="1"/>
                <w:i w:val="1"/>
                <w:iCs w:val="1"/>
                <w:color w:val="auto"/>
              </w:rPr>
              <w:t>(continued)</w:t>
            </w:r>
          </w:p>
        </w:tc>
        <w:tc>
          <w:tcPr>
            <w:tcW w:w="4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4300" w:type="dxa"/>
            <w:vAlign w:val="bottom"/>
          </w:tcPr>
          <w:p>
            <w:pPr>
              <w:jc w:val="right"/>
              <w:ind w:right="112"/>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4300" w:type="dxa"/>
            <w:vAlign w:val="bottom"/>
          </w:tcPr>
          <w:p>
            <w:pPr>
              <w:jc w:val="right"/>
              <w:ind w:right="112"/>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430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5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Directors’ emoluments</w:t>
            </w:r>
          </w:p>
        </w:tc>
        <w:tc>
          <w:tcPr>
            <w:tcW w:w="430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2"/>
        </w:trPr>
        <w:tc>
          <w:tcPr>
            <w:tcW w:w="5860" w:type="dxa"/>
            <w:vAlign w:val="bottom"/>
            <w:gridSpan w:val="2"/>
            <w:vMerge w:val="continue"/>
          </w:tcPr>
          <w:p>
            <w:pPr>
              <w:spacing w:after="0"/>
              <w:rPr>
                <w:sz w:val="18"/>
                <w:szCs w:val="18"/>
                <w:color w:val="auto"/>
              </w:rPr>
            </w:pPr>
          </w:p>
        </w:tc>
        <w:tc>
          <w:tcPr>
            <w:tcW w:w="4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Fees</w:t>
            </w:r>
          </w:p>
        </w:tc>
        <w:tc>
          <w:tcPr>
            <w:tcW w:w="43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697</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 emoluments and benefits in kind</w:t>
            </w:r>
          </w:p>
        </w:tc>
        <w:tc>
          <w:tcPr>
            <w:tcW w:w="4300" w:type="dxa"/>
            <w:vAlign w:val="bottom"/>
          </w:tcPr>
          <w:p>
            <w:pPr>
              <w:jc w:val="right"/>
              <w:ind w:right="112"/>
              <w:spacing w:after="0"/>
              <w:rPr>
                <w:sz w:val="20"/>
                <w:szCs w:val="20"/>
                <w:color w:val="auto"/>
              </w:rPr>
            </w:pPr>
            <w:r>
              <w:rPr>
                <w:rFonts w:ascii="Arial" w:cs="Arial" w:eastAsia="Arial" w:hAnsi="Arial"/>
                <w:sz w:val="18"/>
                <w:szCs w:val="18"/>
                <w:b w:val="1"/>
                <w:bCs w:val="1"/>
                <w:color w:val="auto"/>
              </w:rPr>
              <w:t>7,060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Pension contributions</w:t>
            </w:r>
          </w:p>
        </w:tc>
        <w:tc>
          <w:tcPr>
            <w:tcW w:w="43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1,176</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based payment</w:t>
            </w:r>
          </w:p>
        </w:tc>
        <w:tc>
          <w:tcPr>
            <w:tcW w:w="4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2,869</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Directors’ emoluments</w:t>
            </w:r>
          </w:p>
        </w:tc>
        <w:tc>
          <w:tcPr>
            <w:tcW w:w="4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11,802</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7"/>
          <w:szCs w:val="17"/>
          <w:i w:val="1"/>
          <w:iCs w:val="1"/>
          <w:color w:val="auto"/>
        </w:rPr>
        <w:t>For additional information regarding Directors’ shareholdings, share options and compensation, please refer to note 8 – Payroll and related benefits.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4780" w:type="dxa"/>
            <w:vAlign w:val="bottom"/>
          </w:tcPr>
          <w:p>
            <w:pPr>
              <w:jc w:val="right"/>
              <w:ind w:right="112"/>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4780" w:type="dxa"/>
            <w:vAlign w:val="bottom"/>
          </w:tcPr>
          <w:p>
            <w:pPr>
              <w:jc w:val="right"/>
              <w:ind w:right="112"/>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478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Depreciation and amortisation</w:t>
            </w:r>
          </w:p>
        </w:tc>
        <w:tc>
          <w:tcPr>
            <w:tcW w:w="478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2"/>
        </w:trPr>
        <w:tc>
          <w:tcPr>
            <w:tcW w:w="5380" w:type="dxa"/>
            <w:vAlign w:val="bottom"/>
            <w:gridSpan w:val="2"/>
            <w:vMerge w:val="continue"/>
          </w:tcPr>
          <w:p>
            <w:pPr>
              <w:spacing w:after="0"/>
              <w:rPr>
                <w:sz w:val="18"/>
                <w:szCs w:val="18"/>
                <w:color w:val="auto"/>
              </w:rPr>
            </w:pPr>
          </w:p>
        </w:tc>
        <w:tc>
          <w:tcPr>
            <w:tcW w:w="4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w:t>
            </w:r>
          </w:p>
        </w:tc>
        <w:tc>
          <w:tcPr>
            <w:tcW w:w="47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21,831</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23,169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Amortisation of intangible assets</w:t>
            </w:r>
          </w:p>
        </w:tc>
        <w:tc>
          <w:tcPr>
            <w:tcW w:w="4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20,992</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15,513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depreciation and amortisation</w:t>
            </w:r>
          </w:p>
        </w:tc>
        <w:tc>
          <w:tcPr>
            <w:tcW w:w="4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42,823</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Operating lease rentals</w:t>
            </w:r>
          </w:p>
        </w:tc>
        <w:tc>
          <w:tcPr>
            <w:tcW w:w="4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Premises</w:t>
            </w:r>
          </w:p>
        </w:tc>
        <w:tc>
          <w:tcPr>
            <w:tcW w:w="47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43,401</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41,784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Motor vehicles</w:t>
            </w:r>
          </w:p>
        </w:tc>
        <w:tc>
          <w:tcPr>
            <w:tcW w:w="4780" w:type="dxa"/>
            <w:vAlign w:val="bottom"/>
          </w:tcPr>
          <w:p>
            <w:pPr>
              <w:jc w:val="right"/>
              <w:ind w:right="112"/>
              <w:spacing w:after="0"/>
              <w:rPr>
                <w:sz w:val="20"/>
                <w:szCs w:val="20"/>
                <w:color w:val="auto"/>
              </w:rPr>
            </w:pPr>
            <w:r>
              <w:rPr>
                <w:rFonts w:ascii="Arial" w:cs="Arial" w:eastAsia="Arial" w:hAnsi="Arial"/>
                <w:sz w:val="18"/>
                <w:szCs w:val="18"/>
                <w:b w:val="1"/>
                <w:bCs w:val="1"/>
                <w:color w:val="auto"/>
              </w:rPr>
              <w:t>7,282</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8,427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Plant and equipment</w:t>
            </w:r>
          </w:p>
        </w:tc>
        <w:tc>
          <w:tcPr>
            <w:tcW w:w="47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1,807</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lease rentals</w:t>
            </w:r>
          </w:p>
        </w:tc>
        <w:tc>
          <w:tcPr>
            <w:tcW w:w="47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52,490</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52,239</w:t>
            </w: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53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Government grants</w:t>
            </w:r>
          </w:p>
        </w:tc>
        <w:tc>
          <w:tcPr>
            <w:tcW w:w="4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Government grants</w:t>
            </w:r>
          </w:p>
        </w:tc>
        <w:tc>
          <w:tcPr>
            <w:tcW w:w="4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340</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government grants</w:t>
            </w:r>
          </w:p>
        </w:tc>
        <w:tc>
          <w:tcPr>
            <w:tcW w:w="4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340</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3. Financing income</w:t>
            </w:r>
          </w:p>
        </w:tc>
        <w:tc>
          <w:tcPr>
            <w:tcW w:w="4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780" w:type="dxa"/>
            <w:vAlign w:val="bottom"/>
          </w:tcPr>
          <w:p>
            <w:pPr>
              <w:jc w:val="right"/>
              <w:ind w:right="112"/>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4780" w:type="dxa"/>
            <w:vAlign w:val="bottom"/>
          </w:tcPr>
          <w:p>
            <w:pPr>
              <w:jc w:val="right"/>
              <w:ind w:right="112"/>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478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478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47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1,151</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Defined benefit pension – expected return on plan assets</w:t>
            </w:r>
          </w:p>
        </w:tc>
        <w:tc>
          <w:tcPr>
            <w:tcW w:w="4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895</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2,046</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5380" w:type="dxa"/>
            <w:vAlign w:val="bottom"/>
            <w:gridSpan w:val="2"/>
          </w:tcPr>
          <w:p>
            <w:pPr>
              <w:spacing w:after="0"/>
              <w:rPr>
                <w:sz w:val="20"/>
                <w:szCs w:val="20"/>
                <w:color w:val="auto"/>
              </w:rPr>
            </w:pPr>
            <w:r>
              <w:rPr>
                <w:rFonts w:ascii="Arial" w:cs="Arial" w:eastAsia="Arial" w:hAnsi="Arial"/>
                <w:sz w:val="18"/>
                <w:szCs w:val="18"/>
                <w:color w:val="auto"/>
                <w:w w:val="94"/>
              </w:rPr>
              <w:t>All of the above relates to items not at fair value through profit and loss.</w:t>
            </w:r>
          </w:p>
        </w:tc>
        <w:tc>
          <w:tcPr>
            <w:tcW w:w="4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780" w:type="dxa"/>
            <w:vAlign w:val="bottom"/>
          </w:tcPr>
          <w:p>
            <w:pPr>
              <w:jc w:val="right"/>
              <w:ind w:right="4272"/>
              <w:spacing w:after="0"/>
              <w:rPr>
                <w:sz w:val="20"/>
                <w:szCs w:val="20"/>
                <w:color w:val="auto"/>
              </w:rPr>
            </w:pPr>
            <w:r>
              <w:rPr>
                <w:rFonts w:ascii="Arial" w:cs="Arial" w:eastAsia="Arial" w:hAnsi="Arial"/>
                <w:sz w:val="18"/>
                <w:szCs w:val="18"/>
                <w:color w:val="auto"/>
              </w:rPr>
              <w:t>37</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60" w:type="dxa"/>
            <w:vAlign w:val="bottom"/>
            <w:tcBorders>
              <w:bottom w:val="single" w:sz="8" w:color="808080"/>
            </w:tcBorders>
          </w:tcPr>
          <w:p>
            <w:pPr>
              <w:spacing w:after="0"/>
              <w:rPr>
                <w:sz w:val="10"/>
                <w:szCs w:val="10"/>
                <w:color w:val="auto"/>
              </w:rPr>
            </w:pPr>
          </w:p>
        </w:tc>
        <w:tc>
          <w:tcPr>
            <w:tcW w:w="47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4. Financing expense</w:t>
            </w:r>
          </w:p>
        </w:tc>
        <w:tc>
          <w:tcPr>
            <w:tcW w:w="1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Year ended</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on bank overdraft and credit facilities</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1,008</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Finance cost on acquisition contingent consideration</w:t>
            </w: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939</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interest</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Defined benefit pension-interest cost</w:t>
            </w: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964</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2,911</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0"/>
        </w:trPr>
        <w:tc>
          <w:tcPr>
            <w:tcW w:w="8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All of the above relates to items not at fair value through profit and loss</w:t>
            </w:r>
          </w:p>
        </w:tc>
        <w:tc>
          <w:tcPr>
            <w:tcW w:w="1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5. Income tax expense</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8820" w:type="dxa"/>
            <w:vAlign w:val="bottom"/>
            <w:gridSpan w:val="2"/>
          </w:tcPr>
          <w:p>
            <w:pPr>
              <w:spacing w:after="0"/>
              <w:rPr>
                <w:sz w:val="20"/>
                <w:szCs w:val="20"/>
                <w:color w:val="auto"/>
              </w:rPr>
            </w:pPr>
            <w:r>
              <w:rPr>
                <w:rFonts w:ascii="Arial" w:cs="Arial" w:eastAsia="Arial" w:hAnsi="Arial"/>
                <w:sz w:val="18"/>
                <w:szCs w:val="18"/>
                <w:color w:val="auto"/>
                <w:w w:val="89"/>
              </w:rPr>
              <w:t>The components of the current and deferred tax expense for the years ended 31 December 2012 and 2011 were as follows:</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Year ended</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8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Current tax expense</w:t>
            </w: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2"/>
        </w:trPr>
        <w:tc>
          <w:tcPr>
            <w:tcW w:w="882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21,297</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11,997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Under provided in prior years</w:t>
            </w: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934</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22,231</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Deferred tax charge/(credit)</w:t>
            </w: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Origination and reversal of temporary differences</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(10,261)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Over provided in prior years</w:t>
            </w: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(1,612)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(11,873)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8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income tax expense in the consolidated income statement</w:t>
            </w:r>
          </w:p>
        </w:tc>
        <w:tc>
          <w:tcPr>
            <w:tcW w:w="1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10,358</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9,556</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tax recognised in equity</w:t>
            </w: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 based payment</w:t>
            </w:r>
          </w:p>
        </w:tc>
        <w:tc>
          <w:tcPr>
            <w:tcW w:w="1380" w:type="dxa"/>
            <w:vAlign w:val="bottom"/>
          </w:tcPr>
          <w:p>
            <w:pPr>
              <w:jc w:val="right"/>
              <w:ind w:right="92"/>
              <w:spacing w:after="0"/>
              <w:rPr>
                <w:sz w:val="20"/>
                <w:szCs w:val="20"/>
                <w:color w:val="auto"/>
              </w:rPr>
            </w:pPr>
            <w:r>
              <w:rPr>
                <w:rFonts w:ascii="Arial" w:cs="Arial" w:eastAsia="Arial" w:hAnsi="Arial"/>
                <w:sz w:val="18"/>
                <w:szCs w:val="18"/>
                <w:b w:val="1"/>
                <w:bCs w:val="1"/>
                <w:color w:val="auto"/>
              </w:rPr>
              <w:t>(1,393)</w:t>
            </w:r>
          </w:p>
        </w:tc>
        <w:tc>
          <w:tcPr>
            <w:tcW w:w="1220" w:type="dxa"/>
            <w:vAlign w:val="bottom"/>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 on currency impact on long term funding</w:t>
            </w:r>
          </w:p>
        </w:tc>
        <w:tc>
          <w:tcPr>
            <w:tcW w:w="1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356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8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tax recognised in equity</w:t>
            </w:r>
          </w:p>
        </w:tc>
        <w:tc>
          <w:tcPr>
            <w:tcW w:w="13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(1,037)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total tax expense of $10.4 million and $9.6 million for the years ended 31 December 2012 and 31 December 2011 respectively, reflects tax at standard rates on taxable profits in the jurisdictions in which the group operates, foreign withholding tax and the availability of tax losses.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deferred tax credit of $11.9 million for the year ended 31 December 2012 and the deferred tax credit of $2.7 million for the year ended 31 December 2011, relates to deferred tax arising in respect of net operating losses and temporary differences in capital items, the timing of certain goodwill amortisation on US acquisitions and the timing of tax deductions available relating to the Group’s share option schemes. No deferred tax asset has been recognised on the defined benefit pension scheme.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Income tax expense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A reconciliation of the expected tax expense, computed by applying the standard Irish tax rate to income before tax to the actual tax expense,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540" w:type="dxa"/>
            <w:vAlign w:val="bottom"/>
          </w:tcPr>
          <w:p>
            <w:pPr>
              <w:jc w:val="right"/>
              <w:ind w:right="232"/>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540" w:type="dxa"/>
            <w:vAlign w:val="bottom"/>
          </w:tcPr>
          <w:p>
            <w:pPr>
              <w:jc w:val="right"/>
              <w:ind w:right="232"/>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w w:val="99"/>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540" w:type="dxa"/>
            <w:vAlign w:val="bottom"/>
          </w:tcPr>
          <w:p>
            <w:pPr>
              <w:jc w:val="right"/>
              <w:ind w:right="232"/>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4540" w:type="dxa"/>
            <w:vAlign w:val="bottom"/>
          </w:tcPr>
          <w:p>
            <w:pPr>
              <w:jc w:val="right"/>
              <w:ind w:right="232"/>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Profit before tax</w:t>
            </w:r>
          </w:p>
        </w:tc>
        <w:tc>
          <w:tcPr>
            <w:tcW w:w="454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68,704</w:t>
            </w: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28,786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Irish standard tax rate</w:t>
            </w:r>
          </w:p>
        </w:tc>
        <w:tc>
          <w:tcPr>
            <w:tcW w:w="4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12.5%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Taxes at Irish standard tax rate</w:t>
            </w:r>
          </w:p>
        </w:tc>
        <w:tc>
          <w:tcPr>
            <w:tcW w:w="45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8,588</w:t>
            </w: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00" w:type="dxa"/>
            <w:vAlign w:val="bottom"/>
          </w:tcPr>
          <w:p>
            <w:pPr>
              <w:spacing w:after="0" w:line="200" w:lineRule="exact"/>
              <w:rPr>
                <w:sz w:val="20"/>
                <w:szCs w:val="20"/>
                <w:color w:val="auto"/>
              </w:rPr>
            </w:pPr>
            <w:r>
              <w:rPr>
                <w:rFonts w:ascii="Arial" w:cs="Arial" w:eastAsia="Arial" w:hAnsi="Arial"/>
                <w:sz w:val="18"/>
                <w:szCs w:val="18"/>
                <w:color w:val="auto"/>
              </w:rPr>
              <w:t>Reversal of prior year over provision in respect of</w:t>
            </w:r>
          </w:p>
        </w:tc>
        <w:tc>
          <w:tcPr>
            <w:tcW w:w="454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(678)</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current foreign taxes</w:t>
            </w:r>
          </w:p>
        </w:tc>
        <w:tc>
          <w:tcPr>
            <w:tcW w:w="4540" w:type="dxa"/>
            <w:vAlign w:val="bottom"/>
            <w:vMerge w:val="continue"/>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Foreign and other income taxed at higher rates</w:t>
            </w:r>
          </w:p>
        </w:tc>
        <w:tc>
          <w:tcPr>
            <w:tcW w:w="454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8,807</w:t>
            </w: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11,727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89"/>
              </w:rPr>
              <w:t>Recognition of previously unrecognised tax benefits for uncertain tax positions</w:t>
            </w:r>
          </w:p>
        </w:tc>
        <w:tc>
          <w:tcPr>
            <w:tcW w:w="4540" w:type="dxa"/>
            <w:vAlign w:val="bottom"/>
          </w:tcPr>
          <w:p>
            <w:pPr>
              <w:jc w:val="right"/>
              <w:ind w:right="172"/>
              <w:spacing w:after="0"/>
              <w:rPr>
                <w:sz w:val="20"/>
                <w:szCs w:val="20"/>
                <w:color w:val="auto"/>
              </w:rPr>
            </w:pPr>
            <w:r>
              <w:rPr>
                <w:rFonts w:ascii="Arial" w:cs="Arial" w:eastAsia="Arial" w:hAnsi="Arial"/>
                <w:sz w:val="18"/>
                <w:szCs w:val="18"/>
                <w:b w:val="1"/>
                <w:bCs w:val="1"/>
                <w:color w:val="auto"/>
              </w:rPr>
              <w:t>(2,378)</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Non taxable income and non tax deductible expenses</w:t>
            </w:r>
          </w:p>
        </w:tc>
        <w:tc>
          <w:tcPr>
            <w:tcW w:w="45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(213)</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Losses for which no benefit has been recognised</w:t>
            </w:r>
          </w:p>
        </w:tc>
        <w:tc>
          <w:tcPr>
            <w:tcW w:w="4540" w:type="dxa"/>
            <w:vAlign w:val="bottom"/>
          </w:tcPr>
          <w:p>
            <w:pPr>
              <w:jc w:val="right"/>
              <w:ind w:right="232"/>
              <w:spacing w:after="0"/>
              <w:rPr>
                <w:sz w:val="20"/>
                <w:szCs w:val="20"/>
                <w:color w:val="auto"/>
              </w:rPr>
            </w:pPr>
            <w:r>
              <w:rPr>
                <w:rFonts w:ascii="Arial" w:cs="Arial" w:eastAsia="Arial" w:hAnsi="Arial"/>
                <w:sz w:val="18"/>
                <w:szCs w:val="18"/>
                <w:b w:val="1"/>
                <w:bCs w:val="1"/>
                <w:color w:val="auto"/>
              </w:rPr>
              <w:t>1,557</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incentives</w:t>
            </w:r>
          </w:p>
        </w:tc>
        <w:tc>
          <w:tcPr>
            <w:tcW w:w="45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(4,954)</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(6,341)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45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(371)</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Tax expense on profit for the year</w:t>
            </w:r>
          </w:p>
        </w:tc>
        <w:tc>
          <w:tcPr>
            <w:tcW w:w="45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10,358</w:t>
            </w: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540" w:type="dxa"/>
            <w:vAlign w:val="bottom"/>
          </w:tcPr>
          <w:p>
            <w:pPr>
              <w:jc w:val="right"/>
              <w:ind w:right="4272"/>
              <w:spacing w:after="0"/>
              <w:rPr>
                <w:sz w:val="20"/>
                <w:szCs w:val="20"/>
                <w:color w:val="auto"/>
              </w:rPr>
            </w:pPr>
            <w:r>
              <w:rPr>
                <w:rFonts w:ascii="Arial" w:cs="Arial" w:eastAsia="Arial" w:hAnsi="Arial"/>
                <w:sz w:val="18"/>
                <w:szCs w:val="18"/>
                <w:color w:val="auto"/>
                <w:w w:val="79"/>
              </w:rPr>
              <w:t>39</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6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Income tax expense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 at 31 December 2012 and 31 December 2011 was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08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08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taxation assets</w:t>
            </w:r>
          </w:p>
        </w:tc>
        <w:tc>
          <w:tcPr>
            <w:tcW w:w="508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2"/>
        </w:trPr>
        <w:tc>
          <w:tcPr>
            <w:tcW w:w="5120" w:type="dxa"/>
            <w:vAlign w:val="bottom"/>
            <w:gridSpan w:val="2"/>
            <w:vMerge w:val="continue"/>
          </w:tcPr>
          <w:p>
            <w:pPr>
              <w:spacing w:after="0"/>
              <w:rPr>
                <w:sz w:val="18"/>
                <w:szCs w:val="18"/>
                <w:color w:val="auto"/>
              </w:rPr>
            </w:pPr>
          </w:p>
        </w:tc>
        <w:tc>
          <w:tcPr>
            <w:tcW w:w="5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 carried forward</w:t>
            </w:r>
          </w:p>
        </w:tc>
        <w:tc>
          <w:tcPr>
            <w:tcW w:w="50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6,776</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Accrued expenses and payments on account</w:t>
            </w:r>
          </w:p>
        </w:tc>
        <w:tc>
          <w:tcPr>
            <w:tcW w:w="5080" w:type="dxa"/>
            <w:vAlign w:val="bottom"/>
          </w:tcPr>
          <w:p>
            <w:pPr>
              <w:jc w:val="right"/>
              <w:ind w:right="152"/>
              <w:spacing w:after="0"/>
              <w:rPr>
                <w:sz w:val="20"/>
                <w:szCs w:val="20"/>
                <w:color w:val="auto"/>
              </w:rPr>
            </w:pPr>
            <w:r>
              <w:rPr>
                <w:rFonts w:ascii="Arial" w:cs="Arial" w:eastAsia="Arial" w:hAnsi="Arial"/>
                <w:sz w:val="18"/>
                <w:szCs w:val="18"/>
                <w:b w:val="1"/>
                <w:bCs w:val="1"/>
                <w:color w:val="auto"/>
              </w:rPr>
              <w:t>19,375</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11,652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0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1,875</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Deferred compensation</w:t>
            </w:r>
          </w:p>
        </w:tc>
        <w:tc>
          <w:tcPr>
            <w:tcW w:w="5080" w:type="dxa"/>
            <w:vAlign w:val="bottom"/>
          </w:tcPr>
          <w:p>
            <w:pPr>
              <w:jc w:val="right"/>
              <w:ind w:right="152"/>
              <w:spacing w:after="0"/>
              <w:rPr>
                <w:sz w:val="20"/>
                <w:szCs w:val="20"/>
                <w:color w:val="auto"/>
              </w:rPr>
            </w:pPr>
            <w:r>
              <w:rPr>
                <w:rFonts w:ascii="Arial" w:cs="Arial" w:eastAsia="Arial" w:hAnsi="Arial"/>
                <w:sz w:val="18"/>
                <w:szCs w:val="18"/>
                <w:b w:val="1"/>
                <w:bCs w:val="1"/>
                <w:color w:val="auto"/>
              </w:rPr>
              <w:t>1,136</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50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3,444</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5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98</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taxation assets</w:t>
            </w:r>
          </w:p>
        </w:tc>
        <w:tc>
          <w:tcPr>
            <w:tcW w:w="50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32,704</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21,029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offset against deferred tax liabilities</w:t>
            </w:r>
          </w:p>
        </w:tc>
        <w:tc>
          <w:tcPr>
            <w:tcW w:w="5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(18,068)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asset disclosed on Statement of financial position</w:t>
            </w:r>
          </w:p>
        </w:tc>
        <w:tc>
          <w:tcPr>
            <w:tcW w:w="5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14,636</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Deferred taxation liabilities</w:t>
            </w:r>
          </w:p>
        </w:tc>
        <w:tc>
          <w:tcPr>
            <w:tcW w:w="5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0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6,631</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Goodwill and related assets</w:t>
            </w:r>
          </w:p>
        </w:tc>
        <w:tc>
          <w:tcPr>
            <w:tcW w:w="5080" w:type="dxa"/>
            <w:vAlign w:val="bottom"/>
          </w:tcPr>
          <w:p>
            <w:pPr>
              <w:jc w:val="right"/>
              <w:ind w:right="152"/>
              <w:spacing w:after="0"/>
              <w:rPr>
                <w:sz w:val="20"/>
                <w:szCs w:val="20"/>
                <w:color w:val="auto"/>
              </w:rPr>
            </w:pPr>
            <w:r>
              <w:rPr>
                <w:rFonts w:ascii="Arial" w:cs="Arial" w:eastAsia="Arial" w:hAnsi="Arial"/>
                <w:sz w:val="18"/>
                <w:szCs w:val="18"/>
                <w:b w:val="1"/>
                <w:bCs w:val="1"/>
                <w:color w:val="auto"/>
              </w:rPr>
              <w:t>11,467</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9,443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50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2,707</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5080" w:type="dxa"/>
            <w:vAlign w:val="bottom"/>
          </w:tcPr>
          <w:p>
            <w:pPr>
              <w:jc w:val="right"/>
              <w:ind w:right="152"/>
              <w:spacing w:after="0"/>
              <w:rPr>
                <w:sz w:val="20"/>
                <w:szCs w:val="20"/>
                <w:color w:val="auto"/>
              </w:rPr>
            </w:pPr>
            <w:r>
              <w:rPr>
                <w:rFonts w:ascii="Arial" w:cs="Arial" w:eastAsia="Arial" w:hAnsi="Arial"/>
                <w:sz w:val="18"/>
                <w:szCs w:val="18"/>
                <w:b w:val="1"/>
                <w:bCs w:val="1"/>
                <w:color w:val="auto"/>
              </w:rPr>
              <w:t>88</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Accruals to cash method adjustment</w:t>
            </w:r>
          </w:p>
        </w:tc>
        <w:tc>
          <w:tcPr>
            <w:tcW w:w="50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1,237</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Total deferred taxation liabilities</w:t>
            </w:r>
          </w:p>
        </w:tc>
        <w:tc>
          <w:tcPr>
            <w:tcW w:w="5080" w:type="dxa"/>
            <w:vAlign w:val="bottom"/>
          </w:tcPr>
          <w:p>
            <w:pPr>
              <w:jc w:val="right"/>
              <w:ind w:right="152"/>
              <w:spacing w:after="0"/>
              <w:rPr>
                <w:sz w:val="20"/>
                <w:szCs w:val="20"/>
                <w:color w:val="auto"/>
              </w:rPr>
            </w:pPr>
            <w:r>
              <w:rPr>
                <w:rFonts w:ascii="Arial" w:cs="Arial" w:eastAsia="Arial" w:hAnsi="Arial"/>
                <w:sz w:val="18"/>
                <w:szCs w:val="18"/>
                <w:b w:val="1"/>
                <w:bCs w:val="1"/>
                <w:color w:val="auto"/>
              </w:rPr>
              <w:t>22,130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21,574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offset against deferred tax assets</w:t>
            </w:r>
          </w:p>
        </w:tc>
        <w:tc>
          <w:tcPr>
            <w:tcW w:w="5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(18,068)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Deferred tax liability disclosed on Statement of financial position</w:t>
            </w:r>
          </w:p>
        </w:tc>
        <w:tc>
          <w:tcPr>
            <w:tcW w:w="50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4,062</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7,069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taxation asset/(liability)</w:t>
            </w:r>
          </w:p>
        </w:tc>
        <w:tc>
          <w:tcPr>
            <w:tcW w:w="50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10,574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080" w:type="dxa"/>
            <w:vAlign w:val="bottom"/>
          </w:tcPr>
          <w:p>
            <w:pPr>
              <w:jc w:val="right"/>
              <w:ind w:right="4312"/>
              <w:spacing w:after="0"/>
              <w:rPr>
                <w:sz w:val="20"/>
                <w:szCs w:val="20"/>
                <w:color w:val="auto"/>
              </w:rPr>
            </w:pPr>
            <w:r>
              <w:rPr>
                <w:rFonts w:ascii="Arial" w:cs="Arial" w:eastAsia="Arial" w:hAnsi="Arial"/>
                <w:sz w:val="18"/>
                <w:szCs w:val="18"/>
                <w:color w:val="auto"/>
              </w:rPr>
              <w:t>40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c>
          <w:tcPr>
            <w:tcW w:w="50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Income tax expense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temporary differences during the year ended 31 December 2012 was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120" w:type="dxa"/>
            <w:vAlign w:val="bottom"/>
          </w:tcPr>
          <w:p>
            <w:pPr>
              <w:jc w:val="right"/>
              <w:ind w:right="272"/>
              <w:spacing w:after="0"/>
              <w:rPr>
                <w:sz w:val="20"/>
                <w:szCs w:val="20"/>
                <w:color w:val="auto"/>
              </w:rPr>
            </w:pPr>
            <w:r>
              <w:rPr>
                <w:rFonts w:ascii="Arial" w:cs="Arial" w:eastAsia="Arial" w:hAnsi="Arial"/>
                <w:sz w:val="18"/>
                <w:szCs w:val="18"/>
                <w:b w:val="1"/>
                <w:bCs w:val="1"/>
                <w:color w:val="auto"/>
              </w:rPr>
              <w:t>Balance</w:t>
            </w:r>
          </w:p>
        </w:tc>
        <w:tc>
          <w:tcPr>
            <w:tcW w:w="1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120" w:type="dxa"/>
            <w:vAlign w:val="bottom"/>
          </w:tcPr>
          <w:p>
            <w:pPr>
              <w:jc w:val="right"/>
              <w:ind w:right="272"/>
              <w:spacing w:after="0"/>
              <w:rPr>
                <w:sz w:val="20"/>
                <w:szCs w:val="20"/>
                <w:color w:val="auto"/>
              </w:rPr>
            </w:pPr>
            <w:r>
              <w:rPr>
                <w:rFonts w:ascii="Arial" w:cs="Arial" w:eastAsia="Arial" w:hAnsi="Arial"/>
                <w:sz w:val="18"/>
                <w:szCs w:val="18"/>
                <w:b w:val="1"/>
                <w:bCs w:val="1"/>
                <w:color w:val="auto"/>
              </w:rPr>
              <w:t>1 January</w:t>
            </w:r>
          </w:p>
        </w:tc>
        <w:tc>
          <w:tcPr>
            <w:tcW w:w="1200" w:type="dxa"/>
            <w:vAlign w:val="bottom"/>
          </w:tcPr>
          <w:p>
            <w:pPr>
              <w:jc w:val="right"/>
              <w:ind w:right="92"/>
              <w:spacing w:after="0"/>
              <w:rPr>
                <w:sz w:val="20"/>
                <w:szCs w:val="20"/>
                <w:color w:val="auto"/>
              </w:rPr>
            </w:pPr>
            <w:r>
              <w:rPr>
                <w:rFonts w:ascii="Arial" w:cs="Arial" w:eastAsia="Arial" w:hAnsi="Arial"/>
                <w:sz w:val="18"/>
                <w:szCs w:val="18"/>
                <w:b w:val="1"/>
                <w:bCs w:val="1"/>
                <w:color w:val="auto"/>
              </w:rPr>
              <w:t>Acquired</w:t>
            </w:r>
          </w:p>
        </w:tc>
        <w:tc>
          <w:tcPr>
            <w:tcW w:w="1320" w:type="dxa"/>
            <w:vAlign w:val="bottom"/>
          </w:tcPr>
          <w:p>
            <w:pPr>
              <w:jc w:val="right"/>
              <w:ind w:right="52"/>
              <w:spacing w:after="0"/>
              <w:rPr>
                <w:sz w:val="20"/>
                <w:szCs w:val="20"/>
                <w:color w:val="auto"/>
              </w:rPr>
            </w:pPr>
            <w:r>
              <w:rPr>
                <w:rFonts w:ascii="Arial" w:cs="Arial" w:eastAsia="Arial" w:hAnsi="Arial"/>
                <w:sz w:val="18"/>
                <w:szCs w:val="18"/>
                <w:b w:val="1"/>
                <w:bCs w:val="1"/>
                <w:color w:val="auto"/>
                <w:w w:val="94"/>
              </w:rPr>
              <w:t>Recognised in</w:t>
            </w:r>
          </w:p>
        </w:tc>
        <w:tc>
          <w:tcPr>
            <w:tcW w:w="146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Recognised in</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w w:val="98"/>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120" w:type="dxa"/>
            <w:vAlign w:val="bottom"/>
          </w:tcPr>
          <w:p>
            <w:pPr>
              <w:jc w:val="right"/>
              <w:ind w:right="272"/>
              <w:spacing w:after="0"/>
              <w:rPr>
                <w:sz w:val="20"/>
                <w:szCs w:val="20"/>
                <w:color w:val="auto"/>
              </w:rPr>
            </w:pPr>
            <w:r>
              <w:rPr>
                <w:rFonts w:ascii="Arial" w:cs="Arial" w:eastAsia="Arial" w:hAnsi="Arial"/>
                <w:sz w:val="18"/>
                <w:szCs w:val="18"/>
                <w:b w:val="1"/>
                <w:bCs w:val="1"/>
                <w:color w:val="auto"/>
              </w:rPr>
              <w:t>2012</w:t>
            </w:r>
          </w:p>
        </w:tc>
        <w:tc>
          <w:tcPr>
            <w:tcW w:w="120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b w:val="1"/>
                <w:bCs w:val="1"/>
                <w:color w:val="auto"/>
              </w:rPr>
              <w:t>Income</w:t>
            </w:r>
          </w:p>
        </w:tc>
        <w:tc>
          <w:tcPr>
            <w:tcW w:w="1460" w:type="dxa"/>
            <w:vAlign w:val="bottom"/>
          </w:tcPr>
          <w:p>
            <w:pPr>
              <w:jc w:val="right"/>
              <w:ind w:right="132"/>
              <w:spacing w:after="0"/>
              <w:rPr>
                <w:sz w:val="20"/>
                <w:szCs w:val="20"/>
                <w:color w:val="auto"/>
              </w:rPr>
            </w:pPr>
            <w:r>
              <w:rPr>
                <w:rFonts w:ascii="Arial" w:cs="Arial" w:eastAsia="Arial" w:hAnsi="Arial"/>
                <w:sz w:val="18"/>
                <w:szCs w:val="18"/>
                <w:b w:val="1"/>
                <w:bCs w:val="1"/>
                <w:color w:val="auto"/>
              </w:rPr>
              <w:t>Other</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b w:val="1"/>
                <w:bCs w:val="1"/>
                <w:color w:val="auto"/>
                <w:w w:val="90"/>
              </w:rPr>
              <w:t>Comprehensive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b w:val="1"/>
                <w:bCs w:val="1"/>
                <w:color w:val="auto"/>
              </w:rPr>
              <w:t>Income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taxation assets</w:t>
            </w:r>
          </w:p>
        </w:tc>
        <w:tc>
          <w:tcPr>
            <w:tcW w:w="2120" w:type="dxa"/>
            <w:vAlign w:val="bottom"/>
          </w:tcPr>
          <w:p>
            <w:pPr>
              <w:jc w:val="right"/>
              <w:ind w:right="272"/>
              <w:spacing w:after="0"/>
              <w:rPr>
                <w:sz w:val="20"/>
                <w:szCs w:val="20"/>
                <w:color w:val="auto"/>
              </w:rPr>
            </w:pPr>
            <w:r>
              <w:rPr>
                <w:rFonts w:ascii="Arial" w:cs="Arial" w:eastAsia="Arial" w:hAnsi="Arial"/>
                <w:sz w:val="18"/>
                <w:szCs w:val="18"/>
                <w:b w:val="1"/>
                <w:bCs w:val="1"/>
                <w:color w:val="auto"/>
              </w:rPr>
              <w:t>$’000</w:t>
            </w:r>
          </w:p>
        </w:tc>
        <w:tc>
          <w:tcPr>
            <w:tcW w:w="1200" w:type="dxa"/>
            <w:vAlign w:val="bottom"/>
          </w:tcPr>
          <w:p>
            <w:pPr>
              <w:jc w:val="right"/>
              <w:ind w:right="92"/>
              <w:spacing w:after="0"/>
              <w:rPr>
                <w:sz w:val="20"/>
                <w:szCs w:val="20"/>
                <w:color w:val="auto"/>
              </w:rPr>
            </w:pPr>
            <w:r>
              <w:rPr>
                <w:rFonts w:ascii="Arial" w:cs="Arial" w:eastAsia="Arial" w:hAnsi="Arial"/>
                <w:sz w:val="18"/>
                <w:szCs w:val="18"/>
                <w:b w:val="1"/>
                <w:bCs w:val="1"/>
                <w:color w:val="auto"/>
              </w:rPr>
              <w:t>$’000</w:t>
            </w:r>
          </w:p>
        </w:tc>
        <w:tc>
          <w:tcPr>
            <w:tcW w:w="1320" w:type="dxa"/>
            <w:vAlign w:val="bottom"/>
          </w:tcPr>
          <w:p>
            <w:pPr>
              <w:jc w:val="right"/>
              <w:ind w:right="52"/>
              <w:spacing w:after="0"/>
              <w:rPr>
                <w:sz w:val="20"/>
                <w:szCs w:val="20"/>
                <w:color w:val="auto"/>
              </w:rPr>
            </w:pPr>
            <w:r>
              <w:rPr>
                <w:rFonts w:ascii="Arial" w:cs="Arial" w:eastAsia="Arial" w:hAnsi="Arial"/>
                <w:sz w:val="18"/>
                <w:szCs w:val="18"/>
                <w:b w:val="1"/>
                <w:bCs w:val="1"/>
                <w:color w:val="auto"/>
              </w:rPr>
              <w:t>$’000</w:t>
            </w:r>
          </w:p>
        </w:tc>
        <w:tc>
          <w:tcPr>
            <w:tcW w:w="1460" w:type="dxa"/>
            <w:vAlign w:val="bottom"/>
          </w:tcPr>
          <w:p>
            <w:pPr>
              <w:jc w:val="right"/>
              <w:ind w:right="13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2"/>
        </w:trPr>
        <w:tc>
          <w:tcPr>
            <w:tcW w:w="410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 forwards</w:t>
            </w:r>
          </w:p>
        </w:tc>
        <w:tc>
          <w:tcPr>
            <w:tcW w:w="21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5,791</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48</w:t>
            </w: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1,255</w:t>
            </w:r>
          </w:p>
        </w:tc>
        <w:tc>
          <w:tcPr>
            <w:tcW w:w="14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(318)</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6,776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Accrued expenses and payments on account</w:t>
            </w:r>
          </w:p>
        </w:tc>
        <w:tc>
          <w:tcPr>
            <w:tcW w:w="2120" w:type="dxa"/>
            <w:vAlign w:val="bottom"/>
          </w:tcPr>
          <w:p>
            <w:pPr>
              <w:jc w:val="right"/>
              <w:ind w:right="272"/>
              <w:spacing w:after="0"/>
              <w:rPr>
                <w:sz w:val="20"/>
                <w:szCs w:val="20"/>
                <w:color w:val="auto"/>
              </w:rPr>
            </w:pPr>
            <w:r>
              <w:rPr>
                <w:rFonts w:ascii="Arial" w:cs="Arial" w:eastAsia="Arial" w:hAnsi="Arial"/>
                <w:sz w:val="18"/>
                <w:szCs w:val="18"/>
                <w:color w:val="auto"/>
              </w:rPr>
              <w:t>11,652</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7,697</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19,375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1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1,069</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795</w:t>
            </w:r>
          </w:p>
        </w:tc>
        <w:tc>
          <w:tcPr>
            <w:tcW w:w="1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Deferred compensation</w:t>
            </w:r>
          </w:p>
        </w:tc>
        <w:tc>
          <w:tcPr>
            <w:tcW w:w="2120" w:type="dxa"/>
            <w:vAlign w:val="bottom"/>
          </w:tcPr>
          <w:p>
            <w:pPr>
              <w:jc w:val="right"/>
              <w:ind w:right="272"/>
              <w:spacing w:after="0"/>
              <w:rPr>
                <w:sz w:val="20"/>
                <w:szCs w:val="20"/>
                <w:color w:val="auto"/>
              </w:rPr>
            </w:pPr>
            <w:r>
              <w:rPr>
                <w:rFonts w:ascii="Arial" w:cs="Arial" w:eastAsia="Arial" w:hAnsi="Arial"/>
                <w:sz w:val="18"/>
                <w:szCs w:val="18"/>
                <w:color w:val="auto"/>
              </w:rPr>
              <w:t>1,197</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(61)</w:t>
            </w: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1,136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21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1,113</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2,212</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119</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3,444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1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207</w:t>
            </w: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deferred taxation assets</w:t>
            </w:r>
          </w:p>
        </w:tc>
        <w:tc>
          <w:tcPr>
            <w:tcW w:w="21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21,029</w:t>
            </w: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48</w:t>
            </w: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11,789</w:t>
            </w:r>
          </w:p>
        </w:tc>
        <w:tc>
          <w:tcPr>
            <w:tcW w:w="14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(162)</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32,704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Deferred taxation liabilities</w:t>
            </w:r>
          </w:p>
        </w:tc>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1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7,331</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6,631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Goodwill on acquisition</w:t>
            </w:r>
          </w:p>
        </w:tc>
        <w:tc>
          <w:tcPr>
            <w:tcW w:w="2120" w:type="dxa"/>
            <w:vAlign w:val="bottom"/>
          </w:tcPr>
          <w:p>
            <w:pPr>
              <w:jc w:val="right"/>
              <w:ind w:right="272"/>
              <w:spacing w:after="0"/>
              <w:rPr>
                <w:sz w:val="20"/>
                <w:szCs w:val="20"/>
                <w:color w:val="auto"/>
              </w:rPr>
            </w:pPr>
            <w:r>
              <w:rPr>
                <w:rFonts w:ascii="Arial" w:cs="Arial" w:eastAsia="Arial" w:hAnsi="Arial"/>
                <w:sz w:val="18"/>
                <w:szCs w:val="18"/>
                <w:color w:val="auto"/>
              </w:rPr>
              <w:t>9,443</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2,024</w:t>
            </w: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11,467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Accruals to cash method adjustment</w:t>
            </w:r>
          </w:p>
        </w:tc>
        <w:tc>
          <w:tcPr>
            <w:tcW w:w="21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1,185</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52</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2120" w:type="dxa"/>
            <w:vAlign w:val="bottom"/>
          </w:tcPr>
          <w:p>
            <w:pPr>
              <w:jc w:val="right"/>
              <w:ind w:right="272"/>
              <w:spacing w:after="0"/>
              <w:rPr>
                <w:sz w:val="20"/>
                <w:szCs w:val="20"/>
                <w:color w:val="auto"/>
              </w:rPr>
            </w:pPr>
            <w:r>
              <w:rPr>
                <w:rFonts w:ascii="Arial" w:cs="Arial" w:eastAsia="Arial" w:hAnsi="Arial"/>
                <w:sz w:val="18"/>
                <w:szCs w:val="18"/>
                <w:color w:val="auto"/>
              </w:rPr>
              <w:t>3,525</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607</w:t>
            </w:r>
          </w:p>
        </w:tc>
        <w:tc>
          <w:tcPr>
            <w:tcW w:w="1320" w:type="dxa"/>
            <w:vAlign w:val="bottom"/>
          </w:tcPr>
          <w:p>
            <w:pPr>
              <w:jc w:val="right"/>
              <w:spacing w:after="0"/>
              <w:rPr>
                <w:sz w:val="20"/>
                <w:szCs w:val="20"/>
                <w:color w:val="auto"/>
              </w:rPr>
            </w:pPr>
            <w:r>
              <w:rPr>
                <w:rFonts w:ascii="Arial" w:cs="Arial" w:eastAsia="Arial" w:hAnsi="Arial"/>
                <w:sz w:val="18"/>
                <w:szCs w:val="18"/>
                <w:color w:val="auto"/>
              </w:rPr>
              <w:t>(1,436)</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2,707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12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90</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deferred taxation liabilities</w:t>
            </w:r>
          </w:p>
        </w:tc>
        <w:tc>
          <w:tcPr>
            <w:tcW w:w="212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21,574</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607</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4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32</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22,130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taxation asset/(liability)</w:t>
            </w:r>
          </w:p>
        </w:tc>
        <w:tc>
          <w:tcPr>
            <w:tcW w:w="21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(545)</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(559)</w:t>
            </w:r>
          </w:p>
        </w:tc>
        <w:tc>
          <w:tcPr>
            <w:tcW w:w="1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11,872</w:t>
            </w:r>
          </w:p>
        </w:tc>
        <w:tc>
          <w:tcPr>
            <w:tcW w:w="14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(194)</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10,574</w:t>
            </w:r>
          </w:p>
        </w:tc>
        <w:tc>
          <w:tcPr>
            <w:tcW w:w="0" w:type="dxa"/>
            <w:vAlign w:val="bottom"/>
          </w:tcPr>
          <w:p>
            <w:pPr>
              <w:spacing w:after="0"/>
              <w:rPr>
                <w:sz w:val="1"/>
                <w:szCs w:val="1"/>
                <w:color w:val="auto"/>
              </w:rPr>
            </w:pPr>
          </w:p>
        </w:tc>
      </w:tr>
    </w:tbl>
    <w:p>
      <w:pPr>
        <w:ind w:left="5620" w:right="4400" w:hanging="5614"/>
        <w:spacing w:after="0" w:line="696" w:lineRule="auto"/>
        <w:tabs>
          <w:tab w:leader="none" w:pos="133"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These adjustments relate to foreign currency translation on the deferred tax assets and liabilities. </w:t>
      </w: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Income tax expense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temporary differences during the year ended 31 December 2011 was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80" w:type="dxa"/>
            <w:vAlign w:val="bottom"/>
          </w:tcPr>
          <w:p>
            <w:pPr>
              <w:jc w:val="right"/>
              <w:ind w:right="232"/>
              <w:spacing w:after="0"/>
              <w:rPr>
                <w:sz w:val="20"/>
                <w:szCs w:val="20"/>
                <w:color w:val="auto"/>
              </w:rPr>
            </w:pPr>
            <w:r>
              <w:rPr>
                <w:rFonts w:ascii="Arial" w:cs="Arial" w:eastAsia="Arial" w:hAnsi="Arial"/>
                <w:sz w:val="18"/>
                <w:szCs w:val="18"/>
                <w:b w:val="1"/>
                <w:bCs w:val="1"/>
                <w:color w:val="auto"/>
              </w:rPr>
              <w:t>Balance</w:t>
            </w: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80" w:type="dxa"/>
            <w:vAlign w:val="bottom"/>
          </w:tcPr>
          <w:p>
            <w:pPr>
              <w:jc w:val="right"/>
              <w:ind w:right="232"/>
              <w:spacing w:after="0"/>
              <w:rPr>
                <w:sz w:val="20"/>
                <w:szCs w:val="20"/>
                <w:color w:val="auto"/>
              </w:rPr>
            </w:pPr>
            <w:r>
              <w:rPr>
                <w:rFonts w:ascii="Arial" w:cs="Arial" w:eastAsia="Arial" w:hAnsi="Arial"/>
                <w:sz w:val="18"/>
                <w:szCs w:val="18"/>
                <w:b w:val="1"/>
                <w:bCs w:val="1"/>
                <w:color w:val="auto"/>
              </w:rPr>
              <w:t>1 January</w:t>
            </w:r>
          </w:p>
        </w:tc>
        <w:tc>
          <w:tcPr>
            <w:tcW w:w="1200" w:type="dxa"/>
            <w:vAlign w:val="bottom"/>
          </w:tcPr>
          <w:p>
            <w:pPr>
              <w:jc w:val="right"/>
              <w:ind w:right="92"/>
              <w:spacing w:after="0"/>
              <w:rPr>
                <w:sz w:val="20"/>
                <w:szCs w:val="20"/>
                <w:color w:val="auto"/>
              </w:rPr>
            </w:pPr>
            <w:r>
              <w:rPr>
                <w:rFonts w:ascii="Arial" w:cs="Arial" w:eastAsia="Arial" w:hAnsi="Arial"/>
                <w:sz w:val="18"/>
                <w:szCs w:val="18"/>
                <w:b w:val="1"/>
                <w:bCs w:val="1"/>
                <w:color w:val="auto"/>
              </w:rPr>
              <w:t>Acquired</w:t>
            </w:r>
          </w:p>
        </w:tc>
        <w:tc>
          <w:tcPr>
            <w:tcW w:w="1300" w:type="dxa"/>
            <w:vAlign w:val="bottom"/>
          </w:tcPr>
          <w:p>
            <w:pPr>
              <w:jc w:val="right"/>
              <w:ind w:right="52"/>
              <w:spacing w:after="0"/>
              <w:rPr>
                <w:sz w:val="20"/>
                <w:szCs w:val="20"/>
                <w:color w:val="auto"/>
              </w:rPr>
            </w:pPr>
            <w:r>
              <w:rPr>
                <w:rFonts w:ascii="Arial" w:cs="Arial" w:eastAsia="Arial" w:hAnsi="Arial"/>
                <w:sz w:val="18"/>
                <w:szCs w:val="18"/>
                <w:b w:val="1"/>
                <w:bCs w:val="1"/>
                <w:color w:val="auto"/>
                <w:w w:val="92"/>
              </w:rPr>
              <w:t>Recognised in</w:t>
            </w:r>
          </w:p>
        </w:tc>
        <w:tc>
          <w:tcPr>
            <w:tcW w:w="1520" w:type="dxa"/>
            <w:vAlign w:val="bottom"/>
          </w:tcPr>
          <w:p>
            <w:pPr>
              <w:jc w:val="right"/>
              <w:ind w:right="192"/>
              <w:spacing w:after="0"/>
              <w:rPr>
                <w:sz w:val="20"/>
                <w:szCs w:val="20"/>
                <w:color w:val="auto"/>
              </w:rPr>
            </w:pPr>
            <w:r>
              <w:rPr>
                <w:rFonts w:ascii="Arial" w:cs="Arial" w:eastAsia="Arial" w:hAnsi="Arial"/>
                <w:sz w:val="18"/>
                <w:szCs w:val="18"/>
                <w:b w:val="1"/>
                <w:bCs w:val="1"/>
                <w:color w:val="auto"/>
                <w:w w:val="99"/>
              </w:rPr>
              <w:t>Recognised in</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w w:val="98"/>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80" w:type="dxa"/>
            <w:vAlign w:val="bottom"/>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1200" w:type="dxa"/>
            <w:vAlign w:val="bottom"/>
          </w:tcPr>
          <w:p>
            <w:pPr>
              <w:spacing w:after="0"/>
              <w:rPr>
                <w:sz w:val="18"/>
                <w:szCs w:val="18"/>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b w:val="1"/>
                <w:bCs w:val="1"/>
                <w:color w:val="auto"/>
              </w:rPr>
              <w:t>Income</w:t>
            </w:r>
          </w:p>
        </w:tc>
        <w:tc>
          <w:tcPr>
            <w:tcW w:w="1520" w:type="dxa"/>
            <w:vAlign w:val="bottom"/>
          </w:tcPr>
          <w:p>
            <w:pPr>
              <w:jc w:val="right"/>
              <w:ind w:right="192"/>
              <w:spacing w:after="0"/>
              <w:rPr>
                <w:sz w:val="20"/>
                <w:szCs w:val="20"/>
                <w:color w:val="auto"/>
              </w:rPr>
            </w:pPr>
            <w:r>
              <w:rPr>
                <w:rFonts w:ascii="Arial" w:cs="Arial" w:eastAsia="Arial" w:hAnsi="Arial"/>
                <w:sz w:val="18"/>
                <w:szCs w:val="18"/>
                <w:b w:val="1"/>
                <w:bCs w:val="1"/>
                <w:color w:val="auto"/>
              </w:rPr>
              <w:t>Other</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20" w:type="dxa"/>
            <w:vAlign w:val="bottom"/>
          </w:tcPr>
          <w:p>
            <w:pPr>
              <w:jc w:val="right"/>
              <w:ind w:right="172"/>
              <w:spacing w:after="0"/>
              <w:rPr>
                <w:sz w:val="20"/>
                <w:szCs w:val="20"/>
                <w:color w:val="auto"/>
              </w:rPr>
            </w:pPr>
            <w:r>
              <w:rPr>
                <w:rFonts w:ascii="Arial" w:cs="Arial" w:eastAsia="Arial" w:hAnsi="Arial"/>
                <w:sz w:val="18"/>
                <w:szCs w:val="18"/>
                <w:b w:val="1"/>
                <w:bCs w:val="1"/>
                <w:color w:val="auto"/>
                <w:w w:val="91"/>
              </w:rPr>
              <w:t>Comprehensive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20" w:type="dxa"/>
            <w:vAlign w:val="bottom"/>
          </w:tcPr>
          <w:p>
            <w:pPr>
              <w:jc w:val="right"/>
              <w:ind w:right="192"/>
              <w:spacing w:after="0"/>
              <w:rPr>
                <w:sz w:val="20"/>
                <w:szCs w:val="20"/>
                <w:color w:val="auto"/>
              </w:rPr>
            </w:pPr>
            <w:r>
              <w:rPr>
                <w:rFonts w:ascii="Arial" w:cs="Arial" w:eastAsia="Arial" w:hAnsi="Arial"/>
                <w:sz w:val="18"/>
                <w:szCs w:val="18"/>
                <w:b w:val="1"/>
                <w:bCs w:val="1"/>
                <w:color w:val="auto"/>
              </w:rPr>
              <w:t>Income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taxation assets:</w:t>
            </w:r>
          </w:p>
        </w:tc>
        <w:tc>
          <w:tcPr>
            <w:tcW w:w="2080" w:type="dxa"/>
            <w:vAlign w:val="bottom"/>
          </w:tcPr>
          <w:p>
            <w:pPr>
              <w:jc w:val="right"/>
              <w:ind w:right="232"/>
              <w:spacing w:after="0"/>
              <w:rPr>
                <w:sz w:val="20"/>
                <w:szCs w:val="20"/>
                <w:color w:val="auto"/>
              </w:rPr>
            </w:pPr>
            <w:r>
              <w:rPr>
                <w:rFonts w:ascii="Arial" w:cs="Arial" w:eastAsia="Arial" w:hAnsi="Arial"/>
                <w:sz w:val="18"/>
                <w:szCs w:val="18"/>
                <w:b w:val="1"/>
                <w:bCs w:val="1"/>
                <w:color w:val="auto"/>
              </w:rPr>
              <w:t>$’000</w:t>
            </w:r>
          </w:p>
        </w:tc>
        <w:tc>
          <w:tcPr>
            <w:tcW w:w="1200" w:type="dxa"/>
            <w:vAlign w:val="bottom"/>
          </w:tcPr>
          <w:p>
            <w:pPr>
              <w:jc w:val="right"/>
              <w:ind w:right="92"/>
              <w:spacing w:after="0"/>
              <w:rPr>
                <w:sz w:val="20"/>
                <w:szCs w:val="20"/>
                <w:color w:val="auto"/>
              </w:rPr>
            </w:pPr>
            <w:r>
              <w:rPr>
                <w:rFonts w:ascii="Arial" w:cs="Arial" w:eastAsia="Arial" w:hAnsi="Arial"/>
                <w:sz w:val="18"/>
                <w:szCs w:val="18"/>
                <w:b w:val="1"/>
                <w:bCs w:val="1"/>
                <w:color w:val="auto"/>
              </w:rPr>
              <w:t>$’000</w:t>
            </w:r>
          </w:p>
        </w:tc>
        <w:tc>
          <w:tcPr>
            <w:tcW w:w="1300" w:type="dxa"/>
            <w:vAlign w:val="bottom"/>
          </w:tcPr>
          <w:p>
            <w:pPr>
              <w:jc w:val="right"/>
              <w:ind w:right="52"/>
              <w:spacing w:after="0"/>
              <w:rPr>
                <w:sz w:val="20"/>
                <w:szCs w:val="20"/>
                <w:color w:val="auto"/>
              </w:rPr>
            </w:pPr>
            <w:r>
              <w:rPr>
                <w:rFonts w:ascii="Arial" w:cs="Arial" w:eastAsia="Arial" w:hAnsi="Arial"/>
                <w:sz w:val="18"/>
                <w:szCs w:val="18"/>
                <w:b w:val="1"/>
                <w:bCs w:val="1"/>
                <w:color w:val="auto"/>
              </w:rPr>
              <w:t>$’000</w:t>
            </w:r>
          </w:p>
        </w:tc>
        <w:tc>
          <w:tcPr>
            <w:tcW w:w="1520" w:type="dxa"/>
            <w:vAlign w:val="bottom"/>
          </w:tcPr>
          <w:p>
            <w:pPr>
              <w:jc w:val="right"/>
              <w:ind w:right="19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2"/>
        </w:trPr>
        <w:tc>
          <w:tcPr>
            <w:tcW w:w="410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 forwards</w:t>
            </w:r>
          </w:p>
        </w:tc>
        <w:tc>
          <w:tcPr>
            <w:tcW w:w="2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3,878</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439</w:t>
            </w: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1,498</w:t>
            </w: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Accrued expenses and payments on account</w:t>
            </w:r>
          </w:p>
        </w:tc>
        <w:tc>
          <w:tcPr>
            <w:tcW w:w="2080" w:type="dxa"/>
            <w:vAlign w:val="bottom"/>
          </w:tcPr>
          <w:p>
            <w:pPr>
              <w:jc w:val="right"/>
              <w:ind w:right="232"/>
              <w:spacing w:after="0"/>
              <w:rPr>
                <w:sz w:val="20"/>
                <w:szCs w:val="20"/>
                <w:color w:val="auto"/>
              </w:rPr>
            </w:pPr>
            <w:r>
              <w:rPr>
                <w:rFonts w:ascii="Arial" w:cs="Arial" w:eastAsia="Arial" w:hAnsi="Arial"/>
                <w:sz w:val="18"/>
                <w:szCs w:val="18"/>
                <w:color w:val="auto"/>
              </w:rPr>
              <w:t>6,588</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5,084</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11,652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433</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206</w:t>
            </w: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430</w:t>
            </w:r>
          </w:p>
        </w:tc>
        <w:tc>
          <w:tcPr>
            <w:tcW w:w="15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Deferred compensation</w:t>
            </w:r>
          </w:p>
        </w:tc>
        <w:tc>
          <w:tcPr>
            <w:tcW w:w="2080" w:type="dxa"/>
            <w:vAlign w:val="bottom"/>
          </w:tcPr>
          <w:p>
            <w:pPr>
              <w:jc w:val="right"/>
              <w:ind w:right="232"/>
              <w:spacing w:after="0"/>
              <w:rPr>
                <w:sz w:val="20"/>
                <w:szCs w:val="20"/>
                <w:color w:val="auto"/>
              </w:rPr>
            </w:pPr>
            <w:r>
              <w:rPr>
                <w:rFonts w:ascii="Arial" w:cs="Arial" w:eastAsia="Arial" w:hAnsi="Arial"/>
                <w:sz w:val="18"/>
                <w:szCs w:val="18"/>
                <w:color w:val="auto"/>
              </w:rPr>
              <w:t>1,349</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(152)</w:t>
            </w:r>
          </w:p>
        </w:tc>
        <w:tc>
          <w:tcPr>
            <w:tcW w:w="1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2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3,258</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5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91</w:t>
            </w: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116</w:t>
            </w:r>
          </w:p>
        </w:tc>
        <w:tc>
          <w:tcPr>
            <w:tcW w:w="15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deferred taxation assets</w:t>
            </w:r>
          </w:p>
        </w:tc>
        <w:tc>
          <w:tcPr>
            <w:tcW w:w="20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15,597</w:t>
            </w: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645</w:t>
            </w:r>
          </w:p>
        </w:tc>
        <w:tc>
          <w:tcPr>
            <w:tcW w:w="13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4,831</w:t>
            </w:r>
          </w:p>
        </w:tc>
        <w:tc>
          <w:tcPr>
            <w:tcW w:w="1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(44)</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21,029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Deferred taxation liabilities:</w:t>
            </w:r>
          </w:p>
        </w:tc>
        <w:tc>
          <w:tcPr>
            <w:tcW w:w="2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6,478</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813</w:t>
            </w:r>
          </w:p>
        </w:tc>
        <w:tc>
          <w:tcPr>
            <w:tcW w:w="1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Goodwill on acquisition</w:t>
            </w:r>
          </w:p>
        </w:tc>
        <w:tc>
          <w:tcPr>
            <w:tcW w:w="2080" w:type="dxa"/>
            <w:vAlign w:val="bottom"/>
          </w:tcPr>
          <w:p>
            <w:pPr>
              <w:jc w:val="right"/>
              <w:ind w:right="232"/>
              <w:spacing w:after="0"/>
              <w:rPr>
                <w:sz w:val="20"/>
                <w:szCs w:val="20"/>
                <w:color w:val="auto"/>
              </w:rPr>
            </w:pPr>
            <w:r>
              <w:rPr>
                <w:rFonts w:ascii="Arial" w:cs="Arial" w:eastAsia="Arial" w:hAnsi="Arial"/>
                <w:sz w:val="18"/>
                <w:szCs w:val="18"/>
                <w:color w:val="auto"/>
              </w:rPr>
              <w:t>7,348</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2,095</w:t>
            </w:r>
          </w:p>
        </w:tc>
        <w:tc>
          <w:tcPr>
            <w:tcW w:w="1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9,443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Accruals to cash method adjustment</w:t>
            </w:r>
          </w:p>
        </w:tc>
        <w:tc>
          <w:tcPr>
            <w:tcW w:w="2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832</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353</w:t>
            </w:r>
          </w:p>
        </w:tc>
        <w:tc>
          <w:tcPr>
            <w:tcW w:w="15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2080" w:type="dxa"/>
            <w:vAlign w:val="bottom"/>
          </w:tcPr>
          <w:p>
            <w:pPr>
              <w:jc w:val="right"/>
              <w:ind w:right="232"/>
              <w:spacing w:after="0"/>
              <w:rPr>
                <w:sz w:val="20"/>
                <w:szCs w:val="20"/>
                <w:color w:val="auto"/>
              </w:rPr>
            </w:pPr>
            <w:r>
              <w:rPr>
                <w:rFonts w:ascii="Arial" w:cs="Arial" w:eastAsia="Arial" w:hAnsi="Arial"/>
                <w:sz w:val="18"/>
                <w:szCs w:val="18"/>
                <w:color w:val="auto"/>
              </w:rPr>
              <w:t>223</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4,370</w:t>
            </w:r>
          </w:p>
        </w:tc>
        <w:tc>
          <w:tcPr>
            <w:tcW w:w="1300" w:type="dxa"/>
            <w:vAlign w:val="bottom"/>
          </w:tcPr>
          <w:p>
            <w:pPr>
              <w:jc w:val="right"/>
              <w:spacing w:after="0"/>
              <w:rPr>
                <w:sz w:val="20"/>
                <w:szCs w:val="20"/>
                <w:color w:val="auto"/>
              </w:rPr>
            </w:pPr>
            <w:r>
              <w:rPr>
                <w:rFonts w:ascii="Arial" w:cs="Arial" w:eastAsia="Arial" w:hAnsi="Arial"/>
                <w:sz w:val="18"/>
                <w:szCs w:val="18"/>
                <w:color w:val="auto"/>
              </w:rPr>
              <w:t>(1,051)</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149</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5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deferred taxation liabilities</w:t>
            </w:r>
          </w:p>
        </w:tc>
        <w:tc>
          <w:tcPr>
            <w:tcW w:w="20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15,030</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4,370</w:t>
            </w:r>
          </w:p>
        </w:tc>
        <w:tc>
          <w:tcPr>
            <w:tcW w:w="13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2,151</w:t>
            </w:r>
          </w:p>
        </w:tc>
        <w:tc>
          <w:tcPr>
            <w:tcW w:w="15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23</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21,574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deferred taxation asset</w:t>
            </w:r>
          </w:p>
        </w:tc>
        <w:tc>
          <w:tcPr>
            <w:tcW w:w="20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567</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(3,725)</w:t>
            </w:r>
          </w:p>
        </w:tc>
        <w:tc>
          <w:tcPr>
            <w:tcW w:w="13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2,680</w:t>
            </w:r>
          </w:p>
        </w:tc>
        <w:tc>
          <w:tcPr>
            <w:tcW w:w="15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*These adjustments relate to foreign currency translation on the deferred tax assets.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Unrecognised deferred tax assets</w:t>
      </w:r>
    </w:p>
    <w:p>
      <w:pPr>
        <w:spacing w:after="0" w:line="24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Deferred tax assets relating to the following net operating losses have not been recognised to the extent that it is considered unlikely that a benefit will be received in the future.</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31 December 2012, non-US subsidiaries had operating loss carry-forwards for income tax purposes that may be carried forward indefinitely, available to offset against future taxable income, if any, of approximately $71.2 million (31 December 2011: $59.0 million). At 31 December 2012, non – US subsidiaries also had additional operating loss carry forwards of $5.8 million which are due to expire between 2013 and 2015.</w:t>
      </w:r>
    </w:p>
    <w:p>
      <w:pPr>
        <w:spacing w:after="0" w:line="215"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The potential to use U.S. Federal and State net operating loss (“NOL”) carry forwards of $0.9 million and $0.9 million respectively for a US subsidiary are limited to $113,000 per year due to a change of ownership in 2000, as defined by Section 382 of the Internal Revenue Code of 1986, as amended.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Income tax expense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total, the Group has unrecognised deferred tax assets at 31 December 2012 of $20.2 million and $17.7 million at 31 December 2011. The Group has not recognised the remaining deferred tax assets because it believes that it is more likely than not that the losses and other deferred tax assets will not be utilised given their history of operating losses.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Unrecognised deferred tax liabilities</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31 December 2012 and 31 December 2011 respectively, there were no recognised or unrecognised deferred tax liabilities for taxes that would be payable on the unremitted earnings of certain of the Group's subsidiaries. The Group is able to control the timing of the reversal of the temporary differences of its subsidiaries and it is probable that these temporary differences will not reverse in the foreseeable future.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for basic and diluted net earnings per share for the year ended 31 December 2012:</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20" w:type="dxa"/>
            <w:vAlign w:val="bottom"/>
          </w:tcPr>
          <w:p>
            <w:pPr>
              <w:jc w:val="right"/>
              <w:ind w:right="172"/>
              <w:spacing w:after="0"/>
              <w:rPr>
                <w:sz w:val="20"/>
                <w:szCs w:val="20"/>
                <w:color w:val="auto"/>
              </w:rPr>
            </w:pPr>
            <w:r>
              <w:rPr>
                <w:rFonts w:ascii="Arial" w:cs="Arial" w:eastAsia="Arial" w:hAnsi="Arial"/>
                <w:sz w:val="18"/>
                <w:szCs w:val="18"/>
                <w:b w:val="1"/>
                <w:bCs w:val="1"/>
                <w:color w:val="auto"/>
              </w:rPr>
              <w:t>31</w:t>
            </w:r>
          </w:p>
        </w:tc>
        <w:tc>
          <w:tcPr>
            <w:tcW w:w="12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31</w:t>
            </w:r>
          </w:p>
        </w:tc>
        <w:tc>
          <w:tcPr>
            <w:tcW w:w="1400" w:type="dxa"/>
            <w:vAlign w:val="bottom"/>
            <w:tcBorders>
              <w:top w:val="single" w:sz="8" w:color="auto"/>
              <w:right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3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20" w:type="dxa"/>
            <w:vAlign w:val="bottom"/>
          </w:tcPr>
          <w:p>
            <w:pPr>
              <w:jc w:val="right"/>
              <w:ind w:right="172"/>
              <w:spacing w:after="0"/>
              <w:rPr>
                <w:sz w:val="20"/>
                <w:szCs w:val="20"/>
                <w:color w:val="auto"/>
              </w:rPr>
            </w:pPr>
            <w:r>
              <w:rPr>
                <w:rFonts w:ascii="Arial" w:cs="Arial" w:eastAsia="Arial" w:hAnsi="Arial"/>
                <w:sz w:val="18"/>
                <w:szCs w:val="18"/>
                <w:b w:val="1"/>
                <w:bCs w:val="1"/>
                <w:color w:val="auto"/>
              </w:rPr>
              <w:t>December</w:t>
            </w:r>
          </w:p>
        </w:tc>
        <w:tc>
          <w:tcPr>
            <w:tcW w:w="12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December</w:t>
            </w:r>
          </w:p>
        </w:tc>
        <w:tc>
          <w:tcPr>
            <w:tcW w:w="14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31 December</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31 December</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31 December</w:t>
            </w: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20" w:type="dxa"/>
            <w:vAlign w:val="bottom"/>
          </w:tcPr>
          <w:p>
            <w:pPr>
              <w:jc w:val="right"/>
              <w:ind w:right="172"/>
              <w:spacing w:after="0"/>
              <w:rPr>
                <w:sz w:val="20"/>
                <w:szCs w:val="20"/>
                <w:color w:val="auto"/>
              </w:rPr>
            </w:pPr>
            <w:r>
              <w:rPr>
                <w:rFonts w:ascii="Arial" w:cs="Arial" w:eastAsia="Arial" w:hAnsi="Arial"/>
                <w:sz w:val="18"/>
                <w:szCs w:val="18"/>
                <w:b w:val="1"/>
                <w:bCs w:val="1"/>
                <w:color w:val="auto"/>
              </w:rPr>
              <w:t>2012</w:t>
            </w:r>
          </w:p>
        </w:tc>
        <w:tc>
          <w:tcPr>
            <w:tcW w:w="12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2012</w:t>
            </w:r>
          </w:p>
        </w:tc>
        <w:tc>
          <w:tcPr>
            <w:tcW w:w="14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2012</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2011</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2011</w:t>
            </w: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20" w:type="dxa"/>
            <w:vAlign w:val="bottom"/>
          </w:tcPr>
          <w:p>
            <w:pPr>
              <w:jc w:val="right"/>
              <w:ind w:right="172"/>
              <w:spacing w:after="0"/>
              <w:rPr>
                <w:sz w:val="20"/>
                <w:szCs w:val="20"/>
                <w:color w:val="auto"/>
              </w:rPr>
            </w:pPr>
            <w:r>
              <w:rPr>
                <w:rFonts w:ascii="Arial" w:cs="Arial" w:eastAsia="Arial" w:hAnsi="Arial"/>
                <w:sz w:val="18"/>
                <w:szCs w:val="18"/>
                <w:b w:val="1"/>
                <w:bCs w:val="1"/>
                <w:color w:val="auto"/>
              </w:rPr>
              <w:t>$’000</w:t>
            </w:r>
          </w:p>
        </w:tc>
        <w:tc>
          <w:tcPr>
            <w:tcW w:w="12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$’000</w:t>
            </w:r>
          </w:p>
        </w:tc>
        <w:tc>
          <w:tcPr>
            <w:tcW w:w="14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$’000</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$’000</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$’000</w:t>
            </w: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20" w:type="dxa"/>
            <w:vAlign w:val="bottom"/>
          </w:tcPr>
          <w:p>
            <w:pPr>
              <w:jc w:val="right"/>
              <w:ind w:right="172"/>
              <w:spacing w:after="0"/>
              <w:rPr>
                <w:sz w:val="20"/>
                <w:szCs w:val="20"/>
                <w:color w:val="auto"/>
              </w:rPr>
            </w:pPr>
            <w:r>
              <w:rPr>
                <w:rFonts w:ascii="Arial" w:cs="Arial" w:eastAsia="Arial" w:hAnsi="Arial"/>
                <w:sz w:val="18"/>
                <w:szCs w:val="18"/>
                <w:b w:val="1"/>
                <w:bCs w:val="1"/>
                <w:color w:val="auto"/>
              </w:rPr>
              <w:t>Excluding</w:t>
            </w:r>
          </w:p>
        </w:tc>
        <w:tc>
          <w:tcPr>
            <w:tcW w:w="12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Including</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Excluding</w:t>
            </w: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Including</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20" w:type="dxa"/>
            <w:vAlign w:val="bottom"/>
          </w:tcPr>
          <w:p>
            <w:pPr>
              <w:jc w:val="right"/>
              <w:ind w:right="172"/>
              <w:spacing w:after="0"/>
              <w:rPr>
                <w:sz w:val="20"/>
                <w:szCs w:val="20"/>
                <w:color w:val="auto"/>
              </w:rPr>
            </w:pPr>
            <w:r>
              <w:rPr>
                <w:rFonts w:ascii="Arial" w:cs="Arial" w:eastAsia="Arial" w:hAnsi="Arial"/>
                <w:sz w:val="18"/>
                <w:szCs w:val="18"/>
                <w:b w:val="1"/>
                <w:bCs w:val="1"/>
                <w:color w:val="auto"/>
              </w:rPr>
              <w:t>Exceptional</w:t>
            </w:r>
          </w:p>
        </w:tc>
        <w:tc>
          <w:tcPr>
            <w:tcW w:w="12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Exceptional</w:t>
            </w:r>
          </w:p>
        </w:tc>
        <w:tc>
          <w:tcPr>
            <w:tcW w:w="14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Exceptional</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Exceptional</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Exceptional</w:t>
            </w: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Exceptional</w:t>
            </w:r>
          </w:p>
        </w:tc>
        <w:tc>
          <w:tcPr>
            <w:tcW w:w="0" w:type="dxa"/>
            <w:vAlign w:val="bottom"/>
          </w:tcPr>
          <w:p>
            <w:pPr>
              <w:spacing w:after="0"/>
              <w:rPr>
                <w:sz w:val="1"/>
                <w:szCs w:val="1"/>
                <w:color w:val="auto"/>
              </w:rPr>
            </w:pPr>
          </w:p>
        </w:tc>
      </w:tr>
      <w:tr>
        <w:trPr>
          <w:trHeight w:val="229"/>
        </w:trPr>
        <w:tc>
          <w:tcPr>
            <w:tcW w:w="2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Numerator</w:t>
            </w:r>
          </w:p>
        </w:tc>
        <w:tc>
          <w:tcPr>
            <w:tcW w:w="2220" w:type="dxa"/>
            <w:vAlign w:val="bottom"/>
          </w:tcPr>
          <w:p>
            <w:pPr>
              <w:jc w:val="right"/>
              <w:ind w:right="172"/>
              <w:spacing w:after="0"/>
              <w:rPr>
                <w:sz w:val="20"/>
                <w:szCs w:val="20"/>
                <w:color w:val="auto"/>
              </w:rPr>
            </w:pPr>
            <w:r>
              <w:rPr>
                <w:rFonts w:ascii="Arial" w:cs="Arial" w:eastAsia="Arial" w:hAnsi="Arial"/>
                <w:sz w:val="18"/>
                <w:szCs w:val="18"/>
                <w:b w:val="1"/>
                <w:bCs w:val="1"/>
                <w:color w:val="auto"/>
              </w:rPr>
              <w:t>items</w:t>
            </w:r>
          </w:p>
        </w:tc>
        <w:tc>
          <w:tcPr>
            <w:tcW w:w="12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items</w:t>
            </w:r>
          </w:p>
        </w:tc>
        <w:tc>
          <w:tcPr>
            <w:tcW w:w="14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items</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items</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items</w:t>
            </w: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items</w:t>
            </w:r>
          </w:p>
        </w:tc>
        <w:tc>
          <w:tcPr>
            <w:tcW w:w="0" w:type="dxa"/>
            <w:vAlign w:val="bottom"/>
          </w:tcPr>
          <w:p>
            <w:pPr>
              <w:spacing w:after="0"/>
              <w:rPr>
                <w:sz w:val="1"/>
                <w:szCs w:val="1"/>
                <w:color w:val="auto"/>
              </w:rPr>
            </w:pPr>
          </w:p>
        </w:tc>
      </w:tr>
      <w:tr>
        <w:trPr>
          <w:trHeight w:val="195"/>
        </w:trPr>
        <w:tc>
          <w:tcPr>
            <w:tcW w:w="2520" w:type="dxa"/>
            <w:vAlign w:val="bottom"/>
            <w:gridSpan w:val="2"/>
            <w:vMerge w:val="continue"/>
          </w:tcPr>
          <w:p>
            <w:pPr>
              <w:spacing w:after="0"/>
              <w:rPr>
                <w:sz w:val="16"/>
                <w:szCs w:val="16"/>
                <w:color w:val="auto"/>
              </w:rPr>
            </w:pPr>
          </w:p>
        </w:tc>
        <w:tc>
          <w:tcPr>
            <w:tcW w:w="222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2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computations</w:t>
            </w:r>
          </w:p>
        </w:tc>
        <w:tc>
          <w:tcPr>
            <w:tcW w:w="22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gridSpan w:val="2"/>
          </w:tcPr>
          <w:p>
            <w:pPr>
              <w:spacing w:after="0"/>
              <w:rPr>
                <w:sz w:val="20"/>
                <w:szCs w:val="20"/>
                <w:color w:val="auto"/>
              </w:rPr>
            </w:pPr>
            <w:r>
              <w:rPr>
                <w:rFonts w:ascii="Arial" w:cs="Arial" w:eastAsia="Arial" w:hAnsi="Arial"/>
                <w:sz w:val="18"/>
                <w:szCs w:val="18"/>
                <w:i w:val="1"/>
                <w:iCs w:val="1"/>
                <w:color w:val="auto"/>
              </w:rPr>
              <w:t>Basic and diluted</w:t>
            </w:r>
          </w:p>
        </w:tc>
        <w:tc>
          <w:tcPr>
            <w:tcW w:w="22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20" w:type="dxa"/>
            <w:vAlign w:val="bottom"/>
            <w:gridSpan w:val="2"/>
          </w:tcPr>
          <w:p>
            <w:pPr>
              <w:spacing w:after="0"/>
              <w:rPr>
                <w:sz w:val="20"/>
                <w:szCs w:val="20"/>
                <w:color w:val="auto"/>
              </w:rPr>
            </w:pPr>
            <w:r>
              <w:rPr>
                <w:rFonts w:ascii="Arial" w:cs="Arial" w:eastAsia="Arial" w:hAnsi="Arial"/>
                <w:sz w:val="18"/>
                <w:szCs w:val="18"/>
                <w:i w:val="1"/>
                <w:iCs w:val="1"/>
                <w:color w:val="auto"/>
              </w:rPr>
              <w:t>earnings per share</w:t>
            </w:r>
          </w:p>
        </w:tc>
        <w:tc>
          <w:tcPr>
            <w:tcW w:w="222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4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22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63,079</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(4,733)</w:t>
            </w:r>
          </w:p>
        </w:tc>
        <w:tc>
          <w:tcPr>
            <w:tcW w:w="140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58,346</w:t>
            </w:r>
          </w:p>
        </w:tc>
        <w:tc>
          <w:tcPr>
            <w:tcW w:w="14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27,816</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(8,586)</w:t>
            </w:r>
          </w:p>
        </w:tc>
        <w:tc>
          <w:tcPr>
            <w:tcW w:w="132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19,230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5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Profit attributable to</w:t>
            </w:r>
          </w:p>
        </w:tc>
        <w:tc>
          <w:tcPr>
            <w:tcW w:w="222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63,079</w:t>
            </w:r>
          </w:p>
        </w:tc>
        <w:tc>
          <w:tcPr>
            <w:tcW w:w="12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(4,733)</w:t>
            </w:r>
          </w:p>
        </w:tc>
        <w:tc>
          <w:tcPr>
            <w:tcW w:w="1400" w:type="dxa"/>
            <w:vAlign w:val="bottom"/>
            <w:tcBorders>
              <w:right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58,346</w:t>
            </w:r>
          </w:p>
        </w:tc>
        <w:tc>
          <w:tcPr>
            <w:tcW w:w="1420" w:type="dxa"/>
            <w:vAlign w:val="bottom"/>
            <w:shd w:val="clear" w:color="auto" w:fill="CCEEFF"/>
          </w:tcPr>
          <w:p>
            <w:pPr>
              <w:spacing w:after="0"/>
              <w:rPr>
                <w:sz w:val="17"/>
                <w:szCs w:val="17"/>
                <w:color w:val="auto"/>
              </w:rPr>
            </w:pPr>
          </w:p>
        </w:tc>
        <w:tc>
          <w:tcPr>
            <w:tcW w:w="1260" w:type="dxa"/>
            <w:vAlign w:val="bottom"/>
            <w:tcBorders>
              <w:right w:val="single" w:sz="8" w:color="auto"/>
            </w:tcBorders>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holders</w:t>
            </w:r>
          </w:p>
        </w:tc>
        <w:tc>
          <w:tcPr>
            <w:tcW w:w="2220" w:type="dxa"/>
            <w:vAlign w:val="bottom"/>
            <w:tcBorders>
              <w:bottom w:val="single" w:sz="8" w:color="auto"/>
            </w:tcBorders>
            <w:vMerge w:val="continue"/>
            <w:shd w:val="clear" w:color="auto" w:fill="CCEEFF"/>
          </w:tcPr>
          <w:p>
            <w:pPr>
              <w:spacing w:after="0"/>
              <w:rPr>
                <w:sz w:val="22"/>
                <w:szCs w:val="22"/>
                <w:color w:val="auto"/>
              </w:rPr>
            </w:pPr>
          </w:p>
        </w:tc>
        <w:tc>
          <w:tcPr>
            <w:tcW w:w="1280" w:type="dxa"/>
            <w:vAlign w:val="bottom"/>
            <w:tcBorders>
              <w:bottom w:val="single" w:sz="8" w:color="auto"/>
              <w:right w:val="single" w:sz="8" w:color="auto"/>
            </w:tcBorders>
            <w:vMerge w:val="continue"/>
            <w:shd w:val="clear" w:color="auto" w:fill="CCEEFF"/>
          </w:tcPr>
          <w:p>
            <w:pPr>
              <w:spacing w:after="0"/>
              <w:rPr>
                <w:sz w:val="22"/>
                <w:szCs w:val="22"/>
                <w:color w:val="auto"/>
              </w:rPr>
            </w:pPr>
          </w:p>
        </w:tc>
        <w:tc>
          <w:tcPr>
            <w:tcW w:w="1400" w:type="dxa"/>
            <w:vAlign w:val="bottom"/>
            <w:tcBorders>
              <w:bottom w:val="single" w:sz="8" w:color="auto"/>
              <w:right w:val="single" w:sz="8" w:color="auto"/>
            </w:tcBorders>
            <w:vMerge w:val="continue"/>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27,816</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(8,586)</w:t>
            </w:r>
          </w:p>
        </w:tc>
        <w:tc>
          <w:tcPr>
            <w:tcW w:w="132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19,230</w:t>
            </w:r>
          </w:p>
        </w:tc>
        <w:tc>
          <w:tcPr>
            <w:tcW w:w="0" w:type="dxa"/>
            <w:vAlign w:val="bottom"/>
          </w:tcPr>
          <w:p>
            <w:pPr>
              <w:spacing w:after="0"/>
              <w:rPr>
                <w:sz w:val="1"/>
                <w:szCs w:val="1"/>
                <w:color w:val="auto"/>
              </w:rPr>
            </w:pPr>
          </w:p>
        </w:tc>
      </w:tr>
      <w:tr>
        <w:trPr>
          <w:trHeight w:val="399"/>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Denominator</w:t>
            </w:r>
          </w:p>
        </w:tc>
        <w:tc>
          <w:tcPr>
            <w:tcW w:w="2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w w:val="86"/>
              </w:rPr>
              <w:t>Number of Shares</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computations</w:t>
            </w:r>
          </w:p>
        </w:tc>
        <w:tc>
          <w:tcPr>
            <w:tcW w:w="2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Weighted average</w:t>
            </w:r>
          </w:p>
        </w:tc>
        <w:tc>
          <w:tcPr>
            <w:tcW w:w="22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CCEEFF"/>
              <w:right w:val="single" w:sz="8" w:color="auto"/>
            </w:tcBorders>
            <w:shd w:val="clear" w:color="auto" w:fill="CCEEFF"/>
          </w:tcPr>
          <w:p>
            <w:pPr>
              <w:spacing w:after="0"/>
              <w:rPr>
                <w:sz w:val="15"/>
                <w:szCs w:val="15"/>
                <w:color w:val="auto"/>
              </w:rPr>
            </w:pPr>
          </w:p>
        </w:tc>
        <w:tc>
          <w:tcPr>
            <w:tcW w:w="1400" w:type="dxa"/>
            <w:vAlign w:val="bottom"/>
            <w:tcBorders>
              <w:top w:val="single" w:sz="8" w:color="auto"/>
              <w:right w:val="single" w:sz="8" w:color="auto"/>
            </w:tcBorders>
            <w:shd w:val="clear" w:color="auto" w:fill="CCEEFF"/>
          </w:tcPr>
          <w:p>
            <w:pPr>
              <w:spacing w:after="0"/>
              <w:rPr>
                <w:sz w:val="15"/>
                <w:szCs w:val="15"/>
                <w:color w:val="auto"/>
              </w:rPr>
            </w:pPr>
          </w:p>
        </w:tc>
        <w:tc>
          <w:tcPr>
            <w:tcW w:w="14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CCEEFF"/>
              <w:right w:val="single" w:sz="8" w:color="auto"/>
            </w:tcBorders>
            <w:shd w:val="clear" w:color="auto" w:fill="CCEEFF"/>
          </w:tcPr>
          <w:p>
            <w:pPr>
              <w:spacing w:after="0"/>
              <w:rPr>
                <w:sz w:val="15"/>
                <w:szCs w:val="15"/>
                <w:color w:val="auto"/>
              </w:rPr>
            </w:pPr>
          </w:p>
        </w:tc>
        <w:tc>
          <w:tcPr>
            <w:tcW w:w="1320" w:type="dxa"/>
            <w:vAlign w:val="bottom"/>
            <w:tcBorders>
              <w:top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number of ordinary</w:t>
            </w:r>
          </w:p>
        </w:tc>
        <w:tc>
          <w:tcPr>
            <w:tcW w:w="2220" w:type="dxa"/>
            <w:vAlign w:val="bottom"/>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400" w:type="dxa"/>
            <w:vAlign w:val="bottom"/>
            <w:tcBorders>
              <w:right w:val="single" w:sz="8" w:color="auto"/>
            </w:tcBorders>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w:t>
            </w:r>
          </w:p>
        </w:tc>
        <w:tc>
          <w:tcPr>
            <w:tcW w:w="222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59,968,174</w:t>
            </w:r>
          </w:p>
        </w:tc>
        <w:tc>
          <w:tcPr>
            <w:tcW w:w="1280" w:type="dxa"/>
            <w:vAlign w:val="bottom"/>
            <w:tcBorders>
              <w:right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59,968,174</w:t>
            </w:r>
          </w:p>
        </w:tc>
        <w:tc>
          <w:tcPr>
            <w:tcW w:w="1400" w:type="dxa"/>
            <w:vAlign w:val="bottom"/>
            <w:tcBorders>
              <w:right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59,968,174</w:t>
            </w:r>
          </w:p>
        </w:tc>
        <w:tc>
          <w:tcPr>
            <w:tcW w:w="142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220" w:type="dxa"/>
            <w:vAlign w:val="bottom"/>
            <w:vMerge w:val="continue"/>
            <w:shd w:val="clear" w:color="auto" w:fill="CCEEFF"/>
          </w:tcPr>
          <w:p>
            <w:pPr>
              <w:spacing w:after="0"/>
              <w:rPr>
                <w:sz w:val="19"/>
                <w:szCs w:val="19"/>
                <w:color w:val="auto"/>
              </w:rPr>
            </w:pPr>
          </w:p>
        </w:tc>
        <w:tc>
          <w:tcPr>
            <w:tcW w:w="1280" w:type="dxa"/>
            <w:vAlign w:val="bottom"/>
            <w:tcBorders>
              <w:right w:val="single" w:sz="8" w:color="auto"/>
            </w:tcBorders>
            <w:vMerge w:val="continue"/>
            <w:shd w:val="clear" w:color="auto" w:fill="CCEEFF"/>
          </w:tcPr>
          <w:p>
            <w:pPr>
              <w:spacing w:after="0"/>
              <w:rPr>
                <w:sz w:val="19"/>
                <w:szCs w:val="19"/>
                <w:color w:val="auto"/>
              </w:rPr>
            </w:pPr>
          </w:p>
        </w:tc>
        <w:tc>
          <w:tcPr>
            <w:tcW w:w="1400" w:type="dxa"/>
            <w:vAlign w:val="bottom"/>
            <w:tcBorders>
              <w:right w:val="single" w:sz="8" w:color="auto"/>
            </w:tcBorders>
            <w:vMerge w:val="continue"/>
            <w:shd w:val="clear" w:color="auto" w:fill="CCEEFF"/>
          </w:tcPr>
          <w:p>
            <w:pPr>
              <w:spacing w:after="0"/>
              <w:rPr>
                <w:sz w:val="19"/>
                <w:szCs w:val="19"/>
                <w:color w:val="auto"/>
              </w:rPr>
            </w:pPr>
          </w:p>
        </w:tc>
        <w:tc>
          <w:tcPr>
            <w:tcW w:w="1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60,379,338</w:t>
            </w:r>
          </w:p>
        </w:tc>
        <w:tc>
          <w:tcPr>
            <w:tcW w:w="126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60,379,338</w:t>
            </w:r>
          </w:p>
        </w:tc>
        <w:tc>
          <w:tcPr>
            <w:tcW w:w="132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60,379,338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tcPr>
          <w:p>
            <w:pPr>
              <w:spacing w:after="0" w:line="200" w:lineRule="exact"/>
              <w:rPr>
                <w:sz w:val="20"/>
                <w:szCs w:val="20"/>
                <w:color w:val="auto"/>
              </w:rPr>
            </w:pPr>
            <w:r>
              <w:rPr>
                <w:rFonts w:ascii="Arial" w:cs="Arial" w:eastAsia="Arial" w:hAnsi="Arial"/>
                <w:sz w:val="18"/>
                <w:szCs w:val="18"/>
                <w:color w:val="auto"/>
              </w:rPr>
              <w:t>Effect of dilutive</w:t>
            </w:r>
          </w:p>
        </w:tc>
        <w:tc>
          <w:tcPr>
            <w:tcW w:w="222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20" w:type="dxa"/>
            <w:vAlign w:val="bottom"/>
            <w:gridSpan w:val="2"/>
          </w:tcPr>
          <w:p>
            <w:pPr>
              <w:spacing w:after="0"/>
              <w:rPr>
                <w:sz w:val="20"/>
                <w:szCs w:val="20"/>
                <w:color w:val="auto"/>
              </w:rPr>
            </w:pPr>
            <w:r>
              <w:rPr>
                <w:rFonts w:ascii="Arial" w:cs="Arial" w:eastAsia="Arial" w:hAnsi="Arial"/>
                <w:sz w:val="18"/>
                <w:szCs w:val="18"/>
                <w:color w:val="auto"/>
              </w:rPr>
              <w:t>potential ordinary</w:t>
            </w:r>
          </w:p>
        </w:tc>
        <w:tc>
          <w:tcPr>
            <w:tcW w:w="222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716,358</w:t>
            </w:r>
          </w:p>
        </w:tc>
        <w:tc>
          <w:tcPr>
            <w:tcW w:w="128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18"/>
                <w:szCs w:val="18"/>
                <w:b w:val="1"/>
                <w:bCs w:val="1"/>
                <w:color w:val="auto"/>
              </w:rPr>
              <w:t>716,358</w:t>
            </w:r>
          </w:p>
        </w:tc>
        <w:tc>
          <w:tcPr>
            <w:tcW w:w="1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18"/>
                <w:szCs w:val="18"/>
                <w:b w:val="1"/>
                <w:bCs w:val="1"/>
                <w:color w:val="auto"/>
              </w:rPr>
              <w:t>716,358</w:t>
            </w:r>
          </w:p>
        </w:tc>
        <w:tc>
          <w:tcPr>
            <w:tcW w:w="1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520" w:type="dxa"/>
            <w:vAlign w:val="bottom"/>
            <w:gridSpan w:val="2"/>
          </w:tcPr>
          <w:p>
            <w:pPr>
              <w:spacing w:after="0"/>
              <w:rPr>
                <w:sz w:val="20"/>
                <w:szCs w:val="20"/>
                <w:color w:val="auto"/>
              </w:rPr>
            </w:pPr>
            <w:r>
              <w:rPr>
                <w:rFonts w:ascii="Arial" w:cs="Arial" w:eastAsia="Arial" w:hAnsi="Arial"/>
                <w:sz w:val="18"/>
                <w:szCs w:val="18"/>
                <w:color w:val="auto"/>
              </w:rPr>
              <w:t>shares</w:t>
            </w:r>
          </w:p>
        </w:tc>
        <w:tc>
          <w:tcPr>
            <w:tcW w:w="2220" w:type="dxa"/>
            <w:vAlign w:val="bottom"/>
            <w:vMerge w:val="continue"/>
          </w:tcPr>
          <w:p>
            <w:pPr>
              <w:spacing w:after="0"/>
              <w:rPr>
                <w:sz w:val="20"/>
                <w:szCs w:val="20"/>
                <w:color w:val="auto"/>
              </w:rPr>
            </w:pPr>
          </w:p>
        </w:tc>
        <w:tc>
          <w:tcPr>
            <w:tcW w:w="1280" w:type="dxa"/>
            <w:vAlign w:val="bottom"/>
            <w:tcBorders>
              <w:right w:val="single" w:sz="8" w:color="auto"/>
            </w:tcBorders>
            <w:vMerge w:val="continue"/>
          </w:tcPr>
          <w:p>
            <w:pPr>
              <w:spacing w:after="0"/>
              <w:rPr>
                <w:sz w:val="20"/>
                <w:szCs w:val="20"/>
                <w:color w:val="auto"/>
              </w:rPr>
            </w:pPr>
          </w:p>
        </w:tc>
        <w:tc>
          <w:tcPr>
            <w:tcW w:w="1400" w:type="dxa"/>
            <w:vAlign w:val="bottom"/>
            <w:tcBorders>
              <w:right w:val="single" w:sz="8" w:color="auto"/>
            </w:tcBorders>
            <w:vMerge w:val="continue"/>
          </w:tcPr>
          <w:p>
            <w:pPr>
              <w:spacing w:after="0"/>
              <w:rPr>
                <w:sz w:val="20"/>
                <w:szCs w:val="20"/>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757,377</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757,377</w:t>
            </w: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757,377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Weighted average</w:t>
            </w:r>
          </w:p>
        </w:tc>
        <w:tc>
          <w:tcPr>
            <w:tcW w:w="2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right w:val="single" w:sz="8" w:color="auto"/>
            </w:tcBorders>
            <w:shd w:val="clear" w:color="auto" w:fill="CCEEFF"/>
          </w:tcPr>
          <w:p>
            <w:pPr>
              <w:spacing w:after="0"/>
              <w:rPr>
                <w:sz w:val="17"/>
                <w:szCs w:val="17"/>
                <w:color w:val="auto"/>
              </w:rPr>
            </w:pPr>
          </w:p>
        </w:tc>
        <w:tc>
          <w:tcPr>
            <w:tcW w:w="1400" w:type="dxa"/>
            <w:vAlign w:val="bottom"/>
            <w:tcBorders>
              <w:top w:val="single" w:sz="8" w:color="auto"/>
              <w:right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right w:val="single" w:sz="8" w:color="auto"/>
            </w:tcBorders>
            <w:shd w:val="clear" w:color="auto" w:fill="CCEEFF"/>
          </w:tcPr>
          <w:p>
            <w:pPr>
              <w:spacing w:after="0"/>
              <w:rPr>
                <w:sz w:val="17"/>
                <w:szCs w:val="17"/>
                <w:color w:val="auto"/>
              </w:rPr>
            </w:pPr>
          </w:p>
        </w:tc>
        <w:tc>
          <w:tcPr>
            <w:tcW w:w="1320" w:type="dxa"/>
            <w:vAlign w:val="bottom"/>
            <w:tcBorders>
              <w:top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number of ordinary</w:t>
            </w:r>
          </w:p>
        </w:tc>
        <w:tc>
          <w:tcPr>
            <w:tcW w:w="2220" w:type="dxa"/>
            <w:vAlign w:val="bottom"/>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400" w:type="dxa"/>
            <w:vAlign w:val="bottom"/>
            <w:tcBorders>
              <w:right w:val="single" w:sz="8" w:color="auto"/>
            </w:tcBorders>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w:t>
            </w:r>
          </w:p>
        </w:tc>
        <w:tc>
          <w:tcPr>
            <w:tcW w:w="222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60,684,532</w:t>
            </w:r>
          </w:p>
        </w:tc>
        <w:tc>
          <w:tcPr>
            <w:tcW w:w="1280" w:type="dxa"/>
            <w:vAlign w:val="bottom"/>
            <w:tcBorders>
              <w:right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60,684,532</w:t>
            </w:r>
          </w:p>
        </w:tc>
        <w:tc>
          <w:tcPr>
            <w:tcW w:w="1400" w:type="dxa"/>
            <w:vAlign w:val="bottom"/>
            <w:tcBorders>
              <w:right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60,684,532</w:t>
            </w:r>
          </w:p>
        </w:tc>
        <w:tc>
          <w:tcPr>
            <w:tcW w:w="142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2220" w:type="dxa"/>
            <w:vAlign w:val="bottom"/>
            <w:tcBorders>
              <w:bottom w:val="single" w:sz="8" w:color="auto"/>
            </w:tcBorders>
            <w:vMerge w:val="continue"/>
            <w:shd w:val="clear" w:color="auto" w:fill="CCEEFF"/>
          </w:tcPr>
          <w:p>
            <w:pPr>
              <w:spacing w:after="0"/>
              <w:rPr>
                <w:sz w:val="22"/>
                <w:szCs w:val="22"/>
                <w:color w:val="auto"/>
              </w:rPr>
            </w:pPr>
          </w:p>
        </w:tc>
        <w:tc>
          <w:tcPr>
            <w:tcW w:w="1280" w:type="dxa"/>
            <w:vAlign w:val="bottom"/>
            <w:tcBorders>
              <w:bottom w:val="single" w:sz="8" w:color="auto"/>
              <w:right w:val="single" w:sz="8" w:color="auto"/>
            </w:tcBorders>
            <w:vMerge w:val="continue"/>
            <w:shd w:val="clear" w:color="auto" w:fill="CCEEFF"/>
          </w:tcPr>
          <w:p>
            <w:pPr>
              <w:spacing w:after="0"/>
              <w:rPr>
                <w:sz w:val="22"/>
                <w:szCs w:val="22"/>
                <w:color w:val="auto"/>
              </w:rPr>
            </w:pPr>
          </w:p>
        </w:tc>
        <w:tc>
          <w:tcPr>
            <w:tcW w:w="1400" w:type="dxa"/>
            <w:vAlign w:val="bottom"/>
            <w:tcBorders>
              <w:bottom w:val="single" w:sz="8" w:color="auto"/>
              <w:right w:val="single" w:sz="8" w:color="auto"/>
            </w:tcBorders>
            <w:vMerge w:val="continue"/>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61,136,715</w:t>
            </w:r>
          </w:p>
        </w:tc>
        <w:tc>
          <w:tcPr>
            <w:tcW w:w="126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61,136,715</w:t>
            </w:r>
          </w:p>
        </w:tc>
        <w:tc>
          <w:tcPr>
            <w:tcW w:w="132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61,136,715</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50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6. Earnings per share </w:t>
            </w:r>
            <w:r>
              <w:rPr>
                <w:rFonts w:ascii="Arial" w:cs="Arial" w:eastAsia="Arial" w:hAnsi="Arial"/>
                <w:sz w:val="18"/>
                <w:szCs w:val="18"/>
                <w:b w:val="1"/>
                <w:bCs w:val="1"/>
                <w:i w:val="1"/>
                <w:iCs w:val="1"/>
                <w:color w:val="auto"/>
              </w:rPr>
              <w:t>(continued)</w:t>
            </w:r>
          </w:p>
        </w:tc>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400"/>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80" w:type="dxa"/>
            <w:vAlign w:val="bottom"/>
          </w:tcPr>
          <w:p>
            <w:pPr>
              <w:jc w:val="right"/>
              <w:ind w:right="172"/>
              <w:spacing w:after="0"/>
              <w:rPr>
                <w:sz w:val="20"/>
                <w:szCs w:val="20"/>
                <w:color w:val="auto"/>
              </w:rPr>
            </w:pPr>
            <w:r>
              <w:rPr>
                <w:rFonts w:ascii="Arial" w:cs="Arial" w:eastAsia="Arial" w:hAnsi="Arial"/>
                <w:sz w:val="18"/>
                <w:szCs w:val="18"/>
                <w:b w:val="1"/>
                <w:bCs w:val="1"/>
                <w:color w:val="auto"/>
              </w:rPr>
              <w:t>31</w:t>
            </w:r>
          </w:p>
        </w:tc>
        <w:tc>
          <w:tcPr>
            <w:tcW w:w="12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31</w:t>
            </w:r>
          </w:p>
        </w:tc>
        <w:tc>
          <w:tcPr>
            <w:tcW w:w="1400" w:type="dxa"/>
            <w:vAlign w:val="bottom"/>
            <w:tcBorders>
              <w:right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80" w:type="dxa"/>
            <w:vAlign w:val="bottom"/>
          </w:tcPr>
          <w:p>
            <w:pPr>
              <w:jc w:val="right"/>
              <w:ind w:right="172"/>
              <w:spacing w:after="0"/>
              <w:rPr>
                <w:sz w:val="20"/>
                <w:szCs w:val="20"/>
                <w:color w:val="auto"/>
              </w:rPr>
            </w:pPr>
            <w:r>
              <w:rPr>
                <w:rFonts w:ascii="Arial" w:cs="Arial" w:eastAsia="Arial" w:hAnsi="Arial"/>
                <w:sz w:val="18"/>
                <w:szCs w:val="18"/>
                <w:b w:val="1"/>
                <w:bCs w:val="1"/>
                <w:color w:val="auto"/>
              </w:rPr>
              <w:t>December</w:t>
            </w:r>
          </w:p>
        </w:tc>
        <w:tc>
          <w:tcPr>
            <w:tcW w:w="12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December</w:t>
            </w:r>
          </w:p>
        </w:tc>
        <w:tc>
          <w:tcPr>
            <w:tcW w:w="14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31 December</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31 December</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31 December</w:t>
            </w: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31 December</w:t>
            </w:r>
          </w:p>
        </w:tc>
      </w:tr>
      <w:tr>
        <w:trPr>
          <w:trHeight w:val="212"/>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80" w:type="dxa"/>
            <w:vAlign w:val="bottom"/>
          </w:tcPr>
          <w:p>
            <w:pPr>
              <w:jc w:val="right"/>
              <w:ind w:right="172"/>
              <w:spacing w:after="0"/>
              <w:rPr>
                <w:sz w:val="20"/>
                <w:szCs w:val="20"/>
                <w:color w:val="auto"/>
              </w:rPr>
            </w:pPr>
            <w:r>
              <w:rPr>
                <w:rFonts w:ascii="Arial" w:cs="Arial" w:eastAsia="Arial" w:hAnsi="Arial"/>
                <w:sz w:val="18"/>
                <w:szCs w:val="18"/>
                <w:b w:val="1"/>
                <w:bCs w:val="1"/>
                <w:color w:val="auto"/>
              </w:rPr>
              <w:t>2012</w:t>
            </w:r>
          </w:p>
        </w:tc>
        <w:tc>
          <w:tcPr>
            <w:tcW w:w="12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2012</w:t>
            </w:r>
          </w:p>
        </w:tc>
        <w:tc>
          <w:tcPr>
            <w:tcW w:w="14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2012</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2011</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2011</w:t>
            </w: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2011</w:t>
            </w:r>
          </w:p>
        </w:tc>
      </w:tr>
      <w:tr>
        <w:trPr>
          <w:trHeight w:val="212"/>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80" w:type="dxa"/>
            <w:vAlign w:val="bottom"/>
          </w:tcPr>
          <w:p>
            <w:pPr>
              <w:jc w:val="right"/>
              <w:ind w:right="172"/>
              <w:spacing w:after="0"/>
              <w:rPr>
                <w:sz w:val="20"/>
                <w:szCs w:val="20"/>
                <w:color w:val="auto"/>
              </w:rPr>
            </w:pPr>
            <w:r>
              <w:rPr>
                <w:rFonts w:ascii="Arial" w:cs="Arial" w:eastAsia="Arial" w:hAnsi="Arial"/>
                <w:sz w:val="18"/>
                <w:szCs w:val="18"/>
                <w:b w:val="1"/>
                <w:bCs w:val="1"/>
                <w:color w:val="auto"/>
              </w:rPr>
              <w:t>$’000</w:t>
            </w:r>
          </w:p>
        </w:tc>
        <w:tc>
          <w:tcPr>
            <w:tcW w:w="12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$’000</w:t>
            </w:r>
          </w:p>
        </w:tc>
        <w:tc>
          <w:tcPr>
            <w:tcW w:w="14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$’000</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$’000</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$’000</w:t>
            </w: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$’000</w:t>
            </w:r>
          </w:p>
        </w:tc>
      </w:tr>
      <w:tr>
        <w:trPr>
          <w:trHeight w:val="212"/>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80" w:type="dxa"/>
            <w:vAlign w:val="bottom"/>
          </w:tcPr>
          <w:p>
            <w:pPr>
              <w:jc w:val="right"/>
              <w:ind w:right="172"/>
              <w:spacing w:after="0"/>
              <w:rPr>
                <w:sz w:val="20"/>
                <w:szCs w:val="20"/>
                <w:color w:val="auto"/>
              </w:rPr>
            </w:pPr>
            <w:r>
              <w:rPr>
                <w:rFonts w:ascii="Arial" w:cs="Arial" w:eastAsia="Arial" w:hAnsi="Arial"/>
                <w:sz w:val="18"/>
                <w:szCs w:val="18"/>
                <w:b w:val="1"/>
                <w:bCs w:val="1"/>
                <w:color w:val="auto"/>
              </w:rPr>
              <w:t>Excluding</w:t>
            </w:r>
          </w:p>
        </w:tc>
        <w:tc>
          <w:tcPr>
            <w:tcW w:w="12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Including</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Excluding</w:t>
            </w: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Including</w:t>
            </w:r>
          </w:p>
        </w:tc>
      </w:tr>
      <w:tr>
        <w:trPr>
          <w:trHeight w:val="212"/>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80" w:type="dxa"/>
            <w:vAlign w:val="bottom"/>
          </w:tcPr>
          <w:p>
            <w:pPr>
              <w:jc w:val="right"/>
              <w:ind w:right="172"/>
              <w:spacing w:after="0"/>
              <w:rPr>
                <w:sz w:val="20"/>
                <w:szCs w:val="20"/>
                <w:color w:val="auto"/>
              </w:rPr>
            </w:pPr>
            <w:r>
              <w:rPr>
                <w:rFonts w:ascii="Arial" w:cs="Arial" w:eastAsia="Arial" w:hAnsi="Arial"/>
                <w:sz w:val="18"/>
                <w:szCs w:val="18"/>
                <w:b w:val="1"/>
                <w:bCs w:val="1"/>
                <w:color w:val="auto"/>
              </w:rPr>
              <w:t>Exceptional</w:t>
            </w:r>
          </w:p>
        </w:tc>
        <w:tc>
          <w:tcPr>
            <w:tcW w:w="12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Exceptional</w:t>
            </w:r>
          </w:p>
        </w:tc>
        <w:tc>
          <w:tcPr>
            <w:tcW w:w="14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Exceptional</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Exceptional</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Exceptional</w:t>
            </w: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Exceptional</w:t>
            </w:r>
          </w:p>
        </w:tc>
      </w:tr>
      <w:tr>
        <w:trPr>
          <w:trHeight w:val="229"/>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680" w:type="dxa"/>
            <w:vAlign w:val="bottom"/>
          </w:tcPr>
          <w:p>
            <w:pPr>
              <w:jc w:val="right"/>
              <w:ind w:right="172"/>
              <w:spacing w:after="0"/>
              <w:rPr>
                <w:sz w:val="20"/>
                <w:szCs w:val="20"/>
                <w:color w:val="auto"/>
              </w:rPr>
            </w:pPr>
            <w:r>
              <w:rPr>
                <w:rFonts w:ascii="Arial" w:cs="Arial" w:eastAsia="Arial" w:hAnsi="Arial"/>
                <w:sz w:val="18"/>
                <w:szCs w:val="18"/>
                <w:b w:val="1"/>
                <w:bCs w:val="1"/>
                <w:color w:val="auto"/>
              </w:rPr>
              <w:t>items</w:t>
            </w:r>
          </w:p>
        </w:tc>
        <w:tc>
          <w:tcPr>
            <w:tcW w:w="12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items</w:t>
            </w:r>
          </w:p>
        </w:tc>
        <w:tc>
          <w:tcPr>
            <w:tcW w:w="14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items</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items</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items</w:t>
            </w:r>
          </w:p>
        </w:tc>
        <w:tc>
          <w:tcPr>
            <w:tcW w:w="132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items</w:t>
            </w:r>
          </w:p>
        </w:tc>
      </w:tr>
      <w:tr>
        <w:trPr>
          <w:trHeight w:val="206"/>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Earnings per Share</w:t>
            </w:r>
          </w:p>
        </w:tc>
        <w:tc>
          <w:tcPr>
            <w:tcW w:w="168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12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14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112"/>
              <w:spacing w:after="0" w:line="206"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2"/>
              <w:spacing w:after="0" w:line="206"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19"/>
        </w:trPr>
        <w:tc>
          <w:tcPr>
            <w:tcW w:w="20" w:type="dxa"/>
            <w:vAlign w:val="bottom"/>
          </w:tcPr>
          <w:p>
            <w:pPr>
              <w:spacing w:after="0"/>
              <w:rPr>
                <w:sz w:val="19"/>
                <w:szCs w:val="19"/>
                <w:color w:val="auto"/>
              </w:rPr>
            </w:pPr>
          </w:p>
        </w:tc>
        <w:tc>
          <w:tcPr>
            <w:tcW w:w="3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earnings per ordinary share</w:t>
            </w:r>
          </w:p>
        </w:tc>
        <w:tc>
          <w:tcPr>
            <w:tcW w:w="16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1.05</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(0.08)</w:t>
            </w:r>
          </w:p>
        </w:tc>
        <w:tc>
          <w:tcPr>
            <w:tcW w:w="140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0.97</w:t>
            </w:r>
          </w:p>
        </w:tc>
        <w:tc>
          <w:tcPr>
            <w:tcW w:w="14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0.46</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32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0.32</w:t>
            </w:r>
          </w:p>
        </w:tc>
      </w:tr>
      <w:tr>
        <w:trPr>
          <w:trHeight w:val="212"/>
        </w:trPr>
        <w:tc>
          <w:tcPr>
            <w:tcW w:w="20" w:type="dxa"/>
            <w:vAlign w:val="bottom"/>
          </w:tcPr>
          <w:p>
            <w:pPr>
              <w:spacing w:after="0"/>
              <w:rPr>
                <w:sz w:val="18"/>
                <w:szCs w:val="18"/>
                <w:color w:val="auto"/>
              </w:rPr>
            </w:pPr>
          </w:p>
        </w:tc>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ordinary share</w:t>
            </w:r>
          </w:p>
        </w:tc>
        <w:tc>
          <w:tcPr>
            <w:tcW w:w="1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1.04</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(0.08)</w:t>
            </w:r>
          </w:p>
        </w:tc>
        <w:tc>
          <w:tcPr>
            <w:tcW w:w="14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0.96</w:t>
            </w:r>
          </w:p>
        </w:tc>
        <w:tc>
          <w:tcPr>
            <w:tcW w:w="14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0.45</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32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0.31</w:t>
            </w:r>
          </w:p>
        </w:tc>
      </w:tr>
      <w:tr>
        <w:trPr>
          <w:trHeight w:val="20"/>
        </w:trPr>
        <w:tc>
          <w:tcPr>
            <w:tcW w:w="20" w:type="dxa"/>
            <w:vAlign w:val="bottom"/>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The Company had 2,186,963 anti-dilutive shares in issue at 31December 2012 (31 December 2011: 3,874,981).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7. Exceptional items</w:t>
            </w:r>
          </w:p>
        </w:tc>
        <w:tc>
          <w:tcPr>
            <w:tcW w:w="2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7840" w:type="dxa"/>
            <w:vAlign w:val="bottom"/>
            <w:gridSpan w:val="2"/>
          </w:tcPr>
          <w:p>
            <w:pPr>
              <w:spacing w:after="0"/>
              <w:rPr>
                <w:sz w:val="20"/>
                <w:szCs w:val="20"/>
                <w:color w:val="auto"/>
              </w:rPr>
            </w:pPr>
            <w:r>
              <w:rPr>
                <w:rFonts w:ascii="Arial" w:cs="Arial" w:eastAsia="Arial" w:hAnsi="Arial"/>
                <w:sz w:val="18"/>
                <w:szCs w:val="18"/>
                <w:color w:val="auto"/>
              </w:rPr>
              <w:t>Exceptional items incurred during the year ended 31 December 2012 comprised the following:</w:t>
            </w:r>
          </w:p>
        </w:tc>
        <w:tc>
          <w:tcPr>
            <w:tcW w:w="2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36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36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236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23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4,644</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Release of prior year restructuring provision</w:t>
            </w:r>
          </w:p>
        </w:tc>
        <w:tc>
          <w:tcPr>
            <w:tcW w:w="2360" w:type="dxa"/>
            <w:vAlign w:val="bottom"/>
          </w:tcPr>
          <w:p>
            <w:pPr>
              <w:jc w:val="right"/>
              <w:ind w:right="92"/>
              <w:spacing w:after="0"/>
              <w:rPr>
                <w:sz w:val="20"/>
                <w:szCs w:val="20"/>
                <w:color w:val="auto"/>
              </w:rPr>
            </w:pPr>
            <w:r>
              <w:rPr>
                <w:rFonts w:ascii="Arial" w:cs="Arial" w:eastAsia="Arial" w:hAnsi="Arial"/>
                <w:sz w:val="18"/>
                <w:szCs w:val="18"/>
                <w:b w:val="1"/>
                <w:bCs w:val="1"/>
                <w:color w:val="auto"/>
              </w:rPr>
              <w:t>(119)</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exceptional items</w:t>
            </w:r>
          </w:p>
        </w:tc>
        <w:tc>
          <w:tcPr>
            <w:tcW w:w="2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913</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360" w:type="dxa"/>
            <w:vAlign w:val="bottom"/>
          </w:tcPr>
          <w:p>
            <w:pPr>
              <w:jc w:val="right"/>
              <w:ind w:right="152"/>
              <w:spacing w:after="0"/>
              <w:rPr>
                <w:sz w:val="20"/>
                <w:szCs w:val="20"/>
                <w:color w:val="auto"/>
              </w:rPr>
            </w:pPr>
            <w:r>
              <w:rPr>
                <w:rFonts w:ascii="Arial" w:cs="Arial" w:eastAsia="Arial" w:hAnsi="Arial"/>
                <w:sz w:val="18"/>
                <w:szCs w:val="18"/>
                <w:b w:val="1"/>
                <w:bCs w:val="1"/>
                <w:color w:val="auto"/>
              </w:rPr>
              <w:t>5,438</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9,817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w:t>
            </w:r>
          </w:p>
        </w:tc>
        <w:tc>
          <w:tcPr>
            <w:tcW w:w="23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(705)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Exceptional items (net)</w:t>
            </w:r>
          </w:p>
        </w:tc>
        <w:tc>
          <w:tcPr>
            <w:tcW w:w="2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4,733</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Restructuring charges of $4.5 million were recorded during year ended 31 December 2012 (inclusive of the release of $0.1 million relating to the 2011 Restructuring Plans). During the year ended 31 December 2012 the Company completed a review of its operations to improve resource utilisation throughout the business. This review resulted in the adoption of a restructuring plan, to include resource rationalisations in certain areas of the business and a re-organisation of available office space at the Company’s Philadelphia facility. A restructuring charge of $4.6 million was recognised during the year ended 31 December 2012; $3.4 million in respect of resource rationalisations and $1.2 million in respect of lease termination and exit costs.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movement in the Restructuring Plan recognised during the year ended 31 December 2012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20" w:type="dxa"/>
            <w:vAlign w:val="bottom"/>
          </w:tcPr>
          <w:p>
            <w:pPr>
              <w:jc w:val="right"/>
              <w:ind w:right="72"/>
              <w:spacing w:after="0"/>
              <w:rPr>
                <w:sz w:val="20"/>
                <w:szCs w:val="20"/>
                <w:color w:val="auto"/>
              </w:rPr>
            </w:pPr>
            <w:r>
              <w:rPr>
                <w:rFonts w:ascii="Arial" w:cs="Arial" w:eastAsia="Arial" w:hAnsi="Arial"/>
                <w:sz w:val="18"/>
                <w:szCs w:val="18"/>
                <w:b w:val="1"/>
                <w:bCs w:val="1"/>
                <w:color w:val="auto"/>
              </w:rPr>
              <w:t>Workforce</w:t>
            </w:r>
          </w:p>
        </w:tc>
        <w:tc>
          <w:tcPr>
            <w:tcW w:w="1680" w:type="dxa"/>
            <w:vAlign w:val="bottom"/>
          </w:tcPr>
          <w:p>
            <w:pPr>
              <w:jc w:val="right"/>
              <w:ind w:right="372"/>
              <w:spacing w:after="0"/>
              <w:rPr>
                <w:sz w:val="20"/>
                <w:szCs w:val="20"/>
                <w:color w:val="auto"/>
              </w:rPr>
            </w:pPr>
            <w:r>
              <w:rPr>
                <w:rFonts w:ascii="Arial" w:cs="Arial" w:eastAsia="Arial" w:hAnsi="Arial"/>
                <w:sz w:val="18"/>
                <w:szCs w:val="18"/>
                <w:b w:val="1"/>
                <w:bCs w:val="1"/>
                <w:color w:val="auto"/>
              </w:rPr>
              <w:t>Office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20" w:type="dxa"/>
            <w:vAlign w:val="bottom"/>
          </w:tcPr>
          <w:p>
            <w:pPr>
              <w:jc w:val="right"/>
              <w:ind w:right="72"/>
              <w:spacing w:after="0"/>
              <w:rPr>
                <w:sz w:val="20"/>
                <w:szCs w:val="20"/>
                <w:color w:val="auto"/>
              </w:rPr>
            </w:pPr>
            <w:r>
              <w:rPr>
                <w:rFonts w:ascii="Arial" w:cs="Arial" w:eastAsia="Arial" w:hAnsi="Arial"/>
                <w:sz w:val="18"/>
                <w:szCs w:val="18"/>
                <w:b w:val="1"/>
                <w:bCs w:val="1"/>
                <w:color w:val="auto"/>
              </w:rPr>
              <w:t>Reductions</w:t>
            </w:r>
          </w:p>
        </w:tc>
        <w:tc>
          <w:tcPr>
            <w:tcW w:w="1680" w:type="dxa"/>
            <w:vAlign w:val="bottom"/>
          </w:tcPr>
          <w:p>
            <w:pPr>
              <w:jc w:val="right"/>
              <w:ind w:right="372"/>
              <w:spacing w:after="0"/>
              <w:rPr>
                <w:sz w:val="20"/>
                <w:szCs w:val="20"/>
                <w:color w:val="auto"/>
              </w:rPr>
            </w:pPr>
            <w:r>
              <w:rPr>
                <w:rFonts w:ascii="Arial" w:cs="Arial" w:eastAsia="Arial" w:hAnsi="Arial"/>
                <w:sz w:val="18"/>
                <w:szCs w:val="18"/>
                <w:b w:val="1"/>
                <w:bCs w:val="1"/>
                <w:color w:val="auto"/>
                <w:w w:val="92"/>
              </w:rPr>
              <w:t>Consolidations</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820" w:type="dxa"/>
            <w:vAlign w:val="bottom"/>
          </w:tcPr>
          <w:p>
            <w:pPr>
              <w:jc w:val="right"/>
              <w:ind w:right="72"/>
              <w:spacing w:after="0"/>
              <w:rPr>
                <w:sz w:val="20"/>
                <w:szCs w:val="20"/>
                <w:color w:val="auto"/>
              </w:rPr>
            </w:pPr>
            <w:r>
              <w:rPr>
                <w:rFonts w:ascii="Arial" w:cs="Arial" w:eastAsia="Arial" w:hAnsi="Arial"/>
                <w:sz w:val="18"/>
                <w:szCs w:val="18"/>
                <w:b w:val="1"/>
                <w:bCs w:val="1"/>
                <w:color w:val="auto"/>
              </w:rPr>
              <w:t>$’000</w:t>
            </w:r>
          </w:p>
        </w:tc>
        <w:tc>
          <w:tcPr>
            <w:tcW w:w="1680" w:type="dxa"/>
            <w:vAlign w:val="bottom"/>
          </w:tcPr>
          <w:p>
            <w:pPr>
              <w:jc w:val="right"/>
              <w:ind w:right="372"/>
              <w:spacing w:after="0"/>
              <w:rPr>
                <w:sz w:val="20"/>
                <w:szCs w:val="20"/>
                <w:color w:val="auto"/>
              </w:rPr>
            </w:pPr>
            <w:r>
              <w:rPr>
                <w:rFonts w:ascii="Arial" w:cs="Arial" w:eastAsia="Arial" w:hAnsi="Arial"/>
                <w:sz w:val="18"/>
                <w:szCs w:val="18"/>
                <w:b w:val="1"/>
                <w:bCs w:val="1"/>
                <w:color w:val="auto"/>
              </w:rPr>
              <w:t>$’000</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Initial provision recognised</w:t>
            </w:r>
          </w:p>
        </w:tc>
        <w:tc>
          <w:tcPr>
            <w:tcW w:w="4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3,394</w:t>
            </w:r>
          </w:p>
        </w:tc>
        <w:tc>
          <w:tcPr>
            <w:tcW w:w="16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1,250</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Cash payments</w:t>
            </w:r>
          </w:p>
        </w:tc>
        <w:tc>
          <w:tcPr>
            <w:tcW w:w="4820" w:type="dxa"/>
            <w:vAlign w:val="bottom"/>
          </w:tcPr>
          <w:p>
            <w:pPr>
              <w:jc w:val="right"/>
              <w:ind w:right="12"/>
              <w:spacing w:after="0"/>
              <w:rPr>
                <w:sz w:val="20"/>
                <w:szCs w:val="20"/>
                <w:color w:val="auto"/>
              </w:rPr>
            </w:pPr>
            <w:r>
              <w:rPr>
                <w:rFonts w:ascii="Arial" w:cs="Arial" w:eastAsia="Arial" w:hAnsi="Arial"/>
                <w:sz w:val="18"/>
                <w:szCs w:val="18"/>
                <w:color w:val="auto"/>
              </w:rPr>
              <w:t>(3,030)</w:t>
            </w:r>
          </w:p>
        </w:tc>
        <w:tc>
          <w:tcPr>
            <w:tcW w:w="1680" w:type="dxa"/>
            <w:vAlign w:val="bottom"/>
          </w:tcPr>
          <w:p>
            <w:pPr>
              <w:jc w:val="right"/>
              <w:ind w:right="312"/>
              <w:spacing w:after="0"/>
              <w:rPr>
                <w:sz w:val="20"/>
                <w:szCs w:val="20"/>
                <w:color w:val="auto"/>
              </w:rPr>
            </w:pPr>
            <w:r>
              <w:rPr>
                <w:rFonts w:ascii="Arial" w:cs="Arial" w:eastAsia="Arial" w:hAnsi="Arial"/>
                <w:sz w:val="18"/>
                <w:szCs w:val="18"/>
                <w:color w:val="auto"/>
              </w:rPr>
              <w:t>(824)</w:t>
            </w:r>
          </w:p>
        </w:tc>
        <w:tc>
          <w:tcPr>
            <w:tcW w:w="980" w:type="dxa"/>
            <w:vAlign w:val="bottom"/>
          </w:tcPr>
          <w:p>
            <w:pPr>
              <w:jc w:val="right"/>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4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6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at 31 December 2012</w:t>
            </w:r>
          </w:p>
        </w:tc>
        <w:tc>
          <w:tcPr>
            <w:tcW w:w="48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360</w:t>
            </w:r>
          </w:p>
        </w:tc>
        <w:tc>
          <w:tcPr>
            <w:tcW w:w="16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426</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820" w:type="dxa"/>
            <w:vAlign w:val="bottom"/>
          </w:tcPr>
          <w:p>
            <w:pPr>
              <w:jc w:val="right"/>
              <w:ind w:right="2872"/>
              <w:spacing w:after="0"/>
              <w:rPr>
                <w:sz w:val="20"/>
                <w:szCs w:val="20"/>
                <w:color w:val="auto"/>
              </w:rPr>
            </w:pPr>
            <w:r>
              <w:rPr>
                <w:rFonts w:ascii="Arial" w:cs="Arial" w:eastAsia="Arial" w:hAnsi="Arial"/>
                <w:sz w:val="18"/>
                <w:szCs w:val="18"/>
                <w:color w:val="auto"/>
              </w:rPr>
              <w:t>44</w:t>
            </w: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c>
          <w:tcPr>
            <w:tcW w:w="482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Exceptional items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Restructuring Charges</w:t>
      </w:r>
    </w:p>
    <w:p>
      <w:pPr>
        <w:spacing w:after="0" w:line="24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During the three months ended 31 March 2011 the Company commenced a review of its operations to improve resource utilisation within the business and better align resources to current and future growth opportunities of the business. This review resulted in the adoption of an initial restructuring plan, which resulted in the closure of the Company’s facility in Edinburgh, United Kingdom and resource rationalisations in certain of the more mature markets in which it operates. A restructuring charge of $5.0 million was recognised in respect of this plan during the three months ended 31 March 2011, $1.0 million in respect of lease termination and exit costs associated with the closure of the Edinburgh facility and $4.0 million in respect of workforce reductions. $3.5 million of costs recognised under this plan related to the clinical research segment, while $1.5 million related to the central laboratory business.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three months ended 30 September 2011 the Company implemented a further restructuring plan which resulted in the relocation of the Company’s facility in Maryland, USA; and further resource rationalisations. A restructuring charge of $4.8 million was recognised in respect of this plan during the three months ended 30 September 2011, $0.9 million in respect of lease termination and exit costs associated with the closure of the existing Maryland facility and $3.9 million in respect of workforce reductions. All costs recognised under this plan related to the clinical research segment.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Details of the movement in the 2011 Restructuring Plans recognised during the years ended 31 December 2011 and 31 December 2012 are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480" w:type="dxa"/>
            <w:vAlign w:val="bottom"/>
          </w:tcPr>
          <w:p>
            <w:pPr>
              <w:jc w:val="right"/>
              <w:ind w:right="72"/>
              <w:spacing w:after="0"/>
              <w:rPr>
                <w:sz w:val="20"/>
                <w:szCs w:val="20"/>
                <w:color w:val="auto"/>
              </w:rPr>
            </w:pPr>
            <w:r>
              <w:rPr>
                <w:rFonts w:ascii="Arial" w:cs="Arial" w:eastAsia="Arial" w:hAnsi="Arial"/>
                <w:sz w:val="18"/>
                <w:szCs w:val="18"/>
                <w:b w:val="1"/>
                <w:bCs w:val="1"/>
                <w:color w:val="auto"/>
              </w:rPr>
              <w:t>Workforce</w:t>
            </w:r>
          </w:p>
        </w:tc>
        <w:tc>
          <w:tcPr>
            <w:tcW w:w="1680" w:type="dxa"/>
            <w:vAlign w:val="bottom"/>
          </w:tcPr>
          <w:p>
            <w:pPr>
              <w:jc w:val="right"/>
              <w:ind w:right="372"/>
              <w:spacing w:after="0"/>
              <w:rPr>
                <w:sz w:val="20"/>
                <w:szCs w:val="20"/>
                <w:color w:val="auto"/>
              </w:rPr>
            </w:pPr>
            <w:r>
              <w:rPr>
                <w:rFonts w:ascii="Arial" w:cs="Arial" w:eastAsia="Arial" w:hAnsi="Arial"/>
                <w:sz w:val="18"/>
                <w:szCs w:val="18"/>
                <w:b w:val="1"/>
                <w:bCs w:val="1"/>
                <w:color w:val="auto"/>
              </w:rPr>
              <w:t>Office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480" w:type="dxa"/>
            <w:vAlign w:val="bottom"/>
          </w:tcPr>
          <w:p>
            <w:pPr>
              <w:jc w:val="right"/>
              <w:ind w:right="72"/>
              <w:spacing w:after="0"/>
              <w:rPr>
                <w:sz w:val="20"/>
                <w:szCs w:val="20"/>
                <w:color w:val="auto"/>
              </w:rPr>
            </w:pPr>
            <w:r>
              <w:rPr>
                <w:rFonts w:ascii="Arial" w:cs="Arial" w:eastAsia="Arial" w:hAnsi="Arial"/>
                <w:sz w:val="18"/>
                <w:szCs w:val="18"/>
                <w:b w:val="1"/>
                <w:bCs w:val="1"/>
                <w:color w:val="auto"/>
              </w:rPr>
              <w:t>Reductions</w:t>
            </w:r>
          </w:p>
        </w:tc>
        <w:tc>
          <w:tcPr>
            <w:tcW w:w="1680" w:type="dxa"/>
            <w:vAlign w:val="bottom"/>
          </w:tcPr>
          <w:p>
            <w:pPr>
              <w:jc w:val="right"/>
              <w:ind w:right="372"/>
              <w:spacing w:after="0"/>
              <w:rPr>
                <w:sz w:val="20"/>
                <w:szCs w:val="20"/>
                <w:color w:val="auto"/>
              </w:rPr>
            </w:pPr>
            <w:r>
              <w:rPr>
                <w:rFonts w:ascii="Arial" w:cs="Arial" w:eastAsia="Arial" w:hAnsi="Arial"/>
                <w:sz w:val="18"/>
                <w:szCs w:val="18"/>
                <w:b w:val="1"/>
                <w:bCs w:val="1"/>
                <w:color w:val="auto"/>
                <w:w w:val="92"/>
              </w:rPr>
              <w:t>Consolidations</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480" w:type="dxa"/>
            <w:vAlign w:val="bottom"/>
          </w:tcPr>
          <w:p>
            <w:pPr>
              <w:jc w:val="right"/>
              <w:ind w:right="72"/>
              <w:spacing w:after="0"/>
              <w:rPr>
                <w:sz w:val="20"/>
                <w:szCs w:val="20"/>
                <w:color w:val="auto"/>
              </w:rPr>
            </w:pPr>
            <w:r>
              <w:rPr>
                <w:rFonts w:ascii="Arial" w:cs="Arial" w:eastAsia="Arial" w:hAnsi="Arial"/>
                <w:sz w:val="18"/>
                <w:szCs w:val="18"/>
                <w:b w:val="1"/>
                <w:bCs w:val="1"/>
                <w:color w:val="auto"/>
              </w:rPr>
              <w:t>$’000</w:t>
            </w:r>
          </w:p>
        </w:tc>
        <w:tc>
          <w:tcPr>
            <w:tcW w:w="1680" w:type="dxa"/>
            <w:vAlign w:val="bottom"/>
          </w:tcPr>
          <w:p>
            <w:pPr>
              <w:jc w:val="right"/>
              <w:ind w:right="372"/>
              <w:spacing w:after="0"/>
              <w:rPr>
                <w:sz w:val="20"/>
                <w:szCs w:val="20"/>
                <w:color w:val="auto"/>
              </w:rPr>
            </w:pPr>
            <w:r>
              <w:rPr>
                <w:rFonts w:ascii="Arial" w:cs="Arial" w:eastAsia="Arial" w:hAnsi="Arial"/>
                <w:sz w:val="18"/>
                <w:szCs w:val="18"/>
                <w:b w:val="1"/>
                <w:bCs w:val="1"/>
                <w:color w:val="auto"/>
              </w:rPr>
              <w:t>$’000</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Q1 Plan - initial provision recognised</w:t>
            </w:r>
          </w:p>
        </w:tc>
        <w:tc>
          <w:tcPr>
            <w:tcW w:w="3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3,956</w:t>
            </w:r>
          </w:p>
        </w:tc>
        <w:tc>
          <w:tcPr>
            <w:tcW w:w="16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1,046</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Q3 Plan - initial provision recognised</w:t>
            </w:r>
          </w:p>
        </w:tc>
        <w:tc>
          <w:tcPr>
            <w:tcW w:w="34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3,880</w:t>
            </w:r>
          </w:p>
        </w:tc>
        <w:tc>
          <w:tcPr>
            <w:tcW w:w="16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935</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recognised</w:t>
            </w:r>
          </w:p>
        </w:tc>
        <w:tc>
          <w:tcPr>
            <w:tcW w:w="3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7,836</w:t>
            </w:r>
          </w:p>
        </w:tc>
        <w:tc>
          <w:tcPr>
            <w:tcW w:w="16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1,981</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9,817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(5,438)</w:t>
            </w:r>
          </w:p>
        </w:tc>
        <w:tc>
          <w:tcPr>
            <w:tcW w:w="16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(251)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Property, plant and equipment write-off</w:t>
            </w:r>
          </w:p>
        </w:tc>
        <w:tc>
          <w:tcPr>
            <w:tcW w:w="3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12"/>
              <w:spacing w:after="0"/>
              <w:rPr>
                <w:sz w:val="20"/>
                <w:szCs w:val="20"/>
                <w:color w:val="auto"/>
              </w:rPr>
            </w:pPr>
            <w:r>
              <w:rPr>
                <w:rFonts w:ascii="Arial" w:cs="Arial" w:eastAsia="Arial" w:hAnsi="Arial"/>
                <w:sz w:val="18"/>
                <w:szCs w:val="18"/>
                <w:color w:val="auto"/>
              </w:rPr>
              <w:t>(55)</w:t>
            </w: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3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c>
          <w:tcPr>
            <w:tcW w:w="16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(35)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at December 31, 2011</w:t>
            </w:r>
          </w:p>
        </w:tc>
        <w:tc>
          <w:tcPr>
            <w:tcW w:w="34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2,234</w:t>
            </w:r>
          </w:p>
        </w:tc>
        <w:tc>
          <w:tcPr>
            <w:tcW w:w="16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1,640</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(2,146)</w:t>
            </w:r>
          </w:p>
        </w:tc>
        <w:tc>
          <w:tcPr>
            <w:tcW w:w="16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(1,203)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Amounts released</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680" w:type="dxa"/>
            <w:vAlign w:val="bottom"/>
          </w:tcPr>
          <w:p>
            <w:pPr>
              <w:jc w:val="right"/>
              <w:ind w:right="312"/>
              <w:spacing w:after="0"/>
              <w:rPr>
                <w:sz w:val="20"/>
                <w:szCs w:val="20"/>
                <w:color w:val="auto"/>
              </w:rPr>
            </w:pPr>
            <w:r>
              <w:rPr>
                <w:rFonts w:ascii="Arial" w:cs="Arial" w:eastAsia="Arial" w:hAnsi="Arial"/>
                <w:sz w:val="18"/>
                <w:szCs w:val="18"/>
                <w:color w:val="auto"/>
              </w:rPr>
              <w:t>(95)</w:t>
            </w:r>
          </w:p>
        </w:tc>
        <w:tc>
          <w:tcPr>
            <w:tcW w:w="98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write-off</w:t>
            </w:r>
          </w:p>
        </w:tc>
        <w:tc>
          <w:tcPr>
            <w:tcW w:w="3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(263)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w:t>
            </w:r>
          </w:p>
        </w:tc>
        <w:tc>
          <w:tcPr>
            <w:tcW w:w="16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25</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at December 31, 2012</w:t>
            </w:r>
          </w:p>
        </w:tc>
        <w:tc>
          <w:tcPr>
            <w:tcW w:w="34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36</w:t>
            </w:r>
          </w:p>
        </w:tc>
        <w:tc>
          <w:tcPr>
            <w:tcW w:w="16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104</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expected that cash outflows related to these restructuring plans will occur primarily within twelve months. Given the short term nature of the provision and the relatively fixed nature of the costs involved there are no material uncertainties surrounding the timing and extent of the outflow of economic benefits associated with the above provisions.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Exceptional items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Exceptional Items</w:t>
      </w:r>
    </w:p>
    <w:p>
      <w:pPr>
        <w:spacing w:after="0" w:line="24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30 September 2011 Mr. Peter Gray retired as Chief Executive Officer (“CEO”) of the Company and was appointed Vice Chairman of the Board of Directors, in accordance with the provisions of his service agreement, which was terminable on twelve months’ notice by either party. On 11 June 2012 the Company entered into an agreement with Mr. Gray whereby Mr. Gray’s employment and directorship of ICON plc and other ICON group companies would terminate on 19 July 2012. Under the terms of this agreement Mr. Gray was entitled to be paid €160,000 ($200,000) in lieu of the balance of his notice period and to receive a discretionary bonus of €194,000 ($243,000) in respect of 2012. In addition, under the agreement Mr. Gray’s unvested share options would vest on the date of termination of his employment. The Company has recognised a share-based compensation charge of $422,000 in respect of these options during the year ended 31 December 2012.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Payroll and related benefits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Payroll costs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aggregate payroll costs of employees of the Group for the year ended 31 December 2012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160" w:type="dxa"/>
            <w:vAlign w:val="bottom"/>
          </w:tcPr>
          <w:p>
            <w:pPr>
              <w:ind w:left="1400"/>
              <w:spacing w:after="0"/>
              <w:rPr>
                <w:sz w:val="20"/>
                <w:szCs w:val="20"/>
                <w:color w:val="auto"/>
              </w:rPr>
            </w:pPr>
            <w:r>
              <w:rPr>
                <w:rFonts w:ascii="Arial" w:cs="Arial" w:eastAsia="Arial" w:hAnsi="Arial"/>
                <w:sz w:val="18"/>
                <w:szCs w:val="18"/>
                <w:b w:val="1"/>
                <w:bCs w:val="1"/>
                <w:i w:val="1"/>
                <w:iCs w:val="1"/>
                <w:color w:val="auto"/>
              </w:rPr>
              <w:t>Note</w:t>
            </w: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Year ended</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2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627,899</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549,119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Social welfare costs</w:t>
            </w:r>
          </w:p>
        </w:tc>
        <w:tc>
          <w:tcPr>
            <w:tcW w:w="216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94,053</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79,151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Pension costs for defined contribution pension schemes</w:t>
            </w:r>
          </w:p>
        </w:tc>
        <w:tc>
          <w:tcPr>
            <w:tcW w:w="2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26,629</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23,708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Pension costs for defined benefit pension schemes</w:t>
            </w:r>
          </w:p>
        </w:tc>
        <w:tc>
          <w:tcPr>
            <w:tcW w:w="2160" w:type="dxa"/>
            <w:vAlign w:val="bottom"/>
          </w:tcPr>
          <w:p>
            <w:pPr>
              <w:jc w:val="center"/>
              <w:ind w:left="1032"/>
              <w:spacing w:after="0"/>
              <w:rPr>
                <w:sz w:val="20"/>
                <w:szCs w:val="20"/>
                <w:color w:val="auto"/>
              </w:rPr>
            </w:pPr>
            <w:r>
              <w:rPr>
                <w:rFonts w:ascii="Arial" w:cs="Arial" w:eastAsia="Arial" w:hAnsi="Arial"/>
                <w:sz w:val="18"/>
                <w:szCs w:val="18"/>
                <w:i w:val="1"/>
                <w:iCs w:val="1"/>
                <w:color w:val="auto"/>
                <w:w w:val="79"/>
              </w:rPr>
              <w:t>9</w:t>
            </w:r>
          </w:p>
        </w:tc>
        <w:tc>
          <w:tcPr>
            <w:tcW w:w="1600" w:type="dxa"/>
            <w:vAlign w:val="bottom"/>
          </w:tcPr>
          <w:p>
            <w:pPr>
              <w:jc w:val="right"/>
              <w:ind w:right="132"/>
              <w:spacing w:after="0"/>
              <w:rPr>
                <w:sz w:val="20"/>
                <w:szCs w:val="20"/>
                <w:color w:val="auto"/>
              </w:rPr>
            </w:pPr>
            <w:r>
              <w:rPr>
                <w:rFonts w:ascii="Arial" w:cs="Arial" w:eastAsia="Arial" w:hAnsi="Arial"/>
                <w:sz w:val="18"/>
                <w:szCs w:val="18"/>
                <w:b w:val="1"/>
                <w:bCs w:val="1"/>
                <w:color w:val="auto"/>
              </w:rPr>
              <w:t>311</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Termination payments</w:t>
            </w:r>
          </w:p>
        </w:tc>
        <w:tc>
          <w:tcPr>
            <w:tcW w:w="2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3,886</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8,722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based payment*</w:t>
            </w:r>
          </w:p>
        </w:tc>
        <w:tc>
          <w:tcPr>
            <w:tcW w:w="2160" w:type="dxa"/>
            <w:vAlign w:val="bottom"/>
            <w:tcBorders>
              <w:bottom w:val="single" w:sz="8" w:color="auto"/>
            </w:tcBorders>
          </w:tcPr>
          <w:p>
            <w:pPr>
              <w:jc w:val="center"/>
              <w:ind w:left="1032"/>
              <w:spacing w:after="0"/>
              <w:rPr>
                <w:sz w:val="20"/>
                <w:szCs w:val="20"/>
                <w:color w:val="auto"/>
              </w:rPr>
            </w:pPr>
            <w:r>
              <w:rPr>
                <w:rFonts w:ascii="Arial" w:cs="Arial" w:eastAsia="Arial" w:hAnsi="Arial"/>
                <w:sz w:val="18"/>
                <w:szCs w:val="18"/>
                <w:i w:val="1"/>
                <w:iCs w:val="1"/>
                <w:color w:val="auto"/>
                <w:w w:val="79"/>
              </w:rPr>
              <w:t>10</w:t>
            </w: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10,217</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9,564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charge to income</w:t>
            </w:r>
          </w:p>
        </w:tc>
        <w:tc>
          <w:tcPr>
            <w:tcW w:w="2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762,995</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670,266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Actuarial (gains)/losses recognised on defined benefit pension scheme</w:t>
            </w:r>
          </w:p>
        </w:tc>
        <w:tc>
          <w:tcPr>
            <w:tcW w:w="2160" w:type="dxa"/>
            <w:vAlign w:val="bottom"/>
            <w:tcBorders>
              <w:bottom w:val="single" w:sz="8" w:color="auto"/>
            </w:tcBorders>
          </w:tcPr>
          <w:p>
            <w:pPr>
              <w:jc w:val="center"/>
              <w:ind w:left="1032"/>
              <w:spacing w:after="0"/>
              <w:rPr>
                <w:sz w:val="20"/>
                <w:szCs w:val="20"/>
                <w:color w:val="auto"/>
              </w:rPr>
            </w:pPr>
            <w:r>
              <w:rPr>
                <w:rFonts w:ascii="Arial" w:cs="Arial" w:eastAsia="Arial" w:hAnsi="Arial"/>
                <w:sz w:val="18"/>
                <w:szCs w:val="18"/>
                <w:i w:val="1"/>
                <w:iCs w:val="1"/>
                <w:color w:val="auto"/>
                <w:w w:val="79"/>
              </w:rPr>
              <w:t>9</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(510)</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payroll and related benefit costs</w:t>
            </w:r>
          </w:p>
        </w:tc>
        <w:tc>
          <w:tcPr>
            <w:tcW w:w="2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762,485</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674,631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40" w:firstLine="6"/>
        <w:spacing w:after="0" w:line="250" w:lineRule="auto"/>
        <w:tabs>
          <w:tab w:leader="none" w:pos="132"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IFRS 2 Share based Payments requires that the fair value of share options and restricted share units is calculated and amortised over the vesting period of the related share option or restricted share unit.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employee numbers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average number of employees, including executive Directors, employed by the Group during the year ended 31 December 2012 was as follows</w:t>
      </w:r>
      <w:r>
        <w:rPr>
          <w:rFonts w:ascii="Arial" w:cs="Arial" w:eastAsia="Arial" w:hAnsi="Arial"/>
          <w:sz w:val="17"/>
          <w:szCs w:val="17"/>
          <w:b w:val="1"/>
          <w:bCs w:val="1"/>
          <w:color w:val="auto"/>
        </w:rPr>
        <w: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340" w:type="dxa"/>
            <w:vAlign w:val="bottom"/>
          </w:tcPr>
          <w:p>
            <w:pPr>
              <w:jc w:val="right"/>
              <w:ind w:right="112"/>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340" w:type="dxa"/>
            <w:vAlign w:val="bottom"/>
          </w:tcPr>
          <w:p>
            <w:pPr>
              <w:jc w:val="right"/>
              <w:ind w:right="112"/>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634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634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205</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Administration</w:t>
            </w:r>
          </w:p>
        </w:tc>
        <w:tc>
          <w:tcPr>
            <w:tcW w:w="6340" w:type="dxa"/>
            <w:vAlign w:val="bottom"/>
          </w:tcPr>
          <w:p>
            <w:pPr>
              <w:jc w:val="right"/>
              <w:ind w:right="112"/>
              <w:spacing w:after="0"/>
              <w:rPr>
                <w:sz w:val="20"/>
                <w:szCs w:val="20"/>
                <w:color w:val="auto"/>
              </w:rPr>
            </w:pPr>
            <w:r>
              <w:rPr>
                <w:rFonts w:ascii="Arial" w:cs="Arial" w:eastAsia="Arial" w:hAnsi="Arial"/>
                <w:sz w:val="18"/>
                <w:szCs w:val="18"/>
                <w:b w:val="1"/>
                <w:bCs w:val="1"/>
                <w:color w:val="auto"/>
              </w:rPr>
              <w:t>1,218</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 processing</w:t>
            </w:r>
          </w:p>
        </w:tc>
        <w:tc>
          <w:tcPr>
            <w:tcW w:w="634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7,245</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Laboratory</w:t>
            </w:r>
          </w:p>
        </w:tc>
        <w:tc>
          <w:tcPr>
            <w:tcW w:w="63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420</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63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9,088</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6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340" w:type="dxa"/>
            <w:vAlign w:val="bottom"/>
          </w:tcPr>
          <w:p>
            <w:pPr>
              <w:jc w:val="right"/>
              <w:ind w:right="4272"/>
              <w:spacing w:after="0"/>
              <w:rPr>
                <w:sz w:val="20"/>
                <w:szCs w:val="20"/>
                <w:color w:val="auto"/>
              </w:rPr>
            </w:pPr>
            <w:r>
              <w:rPr>
                <w:rFonts w:ascii="Arial" w:cs="Arial" w:eastAsia="Arial" w:hAnsi="Arial"/>
                <w:sz w:val="18"/>
                <w:szCs w:val="18"/>
                <w:color w:val="auto"/>
              </w:rPr>
              <w:t>46</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63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Payroll and related benefits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remuneration</w:t>
      </w:r>
    </w:p>
    <w:p>
      <w:pPr>
        <w:spacing w:after="0" w:line="244"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Directors, Executive Officer and Company Secretary have the following interests, all of which are beneficial, other than as stated, in the shares and share options of the Company or other Group companies at the following dates: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720" w:type="dxa"/>
            <w:vAlign w:val="bottom"/>
            <w:gridSpan w:val="2"/>
          </w:tcPr>
          <w:p>
            <w:pPr>
              <w:jc w:val="right"/>
              <w:ind w:right="992"/>
              <w:spacing w:after="0"/>
              <w:rPr>
                <w:sz w:val="20"/>
                <w:szCs w:val="20"/>
                <w:color w:val="auto"/>
              </w:rPr>
            </w:pPr>
            <w:r>
              <w:rPr>
                <w:rFonts w:ascii="Arial" w:cs="Arial" w:eastAsia="Arial" w:hAnsi="Arial"/>
                <w:sz w:val="18"/>
                <w:szCs w:val="18"/>
                <w:b w:val="1"/>
                <w:bCs w:val="1"/>
                <w:color w:val="auto"/>
              </w:rPr>
              <w:t>Interest at</w:t>
            </w:r>
          </w:p>
        </w:tc>
        <w:tc>
          <w:tcPr>
            <w:tcW w:w="1600" w:type="dxa"/>
            <w:vAlign w:val="bottom"/>
          </w:tcPr>
          <w:p>
            <w:pPr>
              <w:jc w:val="right"/>
              <w:spacing w:after="0"/>
              <w:rPr>
                <w:sz w:val="20"/>
                <w:szCs w:val="20"/>
                <w:color w:val="auto"/>
              </w:rPr>
            </w:pPr>
            <w:r>
              <w:rPr>
                <w:rFonts w:ascii="Arial" w:cs="Arial" w:eastAsia="Arial" w:hAnsi="Arial"/>
                <w:sz w:val="18"/>
                <w:szCs w:val="18"/>
                <w:color w:val="auto"/>
              </w:rPr>
              <w:t>Interest at</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7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31 December 2012</w:t>
            </w:r>
          </w:p>
        </w:tc>
        <w:tc>
          <w:tcPr>
            <w:tcW w:w="2680" w:type="dxa"/>
            <w:vAlign w:val="bottom"/>
            <w:gridSpan w:val="2"/>
          </w:tcPr>
          <w:p>
            <w:pPr>
              <w:jc w:val="right"/>
              <w:ind w:right="632"/>
              <w:spacing w:after="0"/>
              <w:rPr>
                <w:sz w:val="20"/>
                <w:szCs w:val="20"/>
                <w:color w:val="auto"/>
              </w:rPr>
            </w:pPr>
            <w:r>
              <w:rPr>
                <w:rFonts w:ascii="Arial" w:cs="Arial" w:eastAsia="Arial" w:hAnsi="Arial"/>
                <w:sz w:val="18"/>
                <w:szCs w:val="18"/>
                <w:color w:val="auto"/>
              </w:rPr>
              <w:t>31 December 2011*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60" w:type="dxa"/>
            <w:vAlign w:val="bottom"/>
          </w:tcPr>
          <w:p>
            <w:pPr>
              <w:ind w:left="340"/>
              <w:spacing w:after="0"/>
              <w:rPr>
                <w:sz w:val="20"/>
                <w:szCs w:val="20"/>
                <w:color w:val="auto"/>
              </w:rPr>
            </w:pPr>
            <w:r>
              <w:rPr>
                <w:rFonts w:ascii="Arial" w:cs="Arial" w:eastAsia="Arial" w:hAnsi="Arial"/>
                <w:sz w:val="18"/>
                <w:szCs w:val="18"/>
                <w:b w:val="1"/>
                <w:bCs w:val="1"/>
                <w:color w:val="auto"/>
              </w:rPr>
              <w:t>Name of company</w:t>
            </w:r>
          </w:p>
        </w:tc>
        <w:tc>
          <w:tcPr>
            <w:tcW w:w="2360" w:type="dxa"/>
            <w:vAlign w:val="bottom"/>
          </w:tcPr>
          <w:p>
            <w:pPr>
              <w:jc w:val="right"/>
              <w:ind w:right="352"/>
              <w:spacing w:after="0"/>
              <w:rPr>
                <w:sz w:val="20"/>
                <w:szCs w:val="20"/>
                <w:color w:val="auto"/>
              </w:rPr>
            </w:pPr>
            <w:r>
              <w:rPr>
                <w:rFonts w:ascii="Arial" w:cs="Arial" w:eastAsia="Arial" w:hAnsi="Arial"/>
                <w:sz w:val="18"/>
                <w:szCs w:val="18"/>
                <w:b w:val="1"/>
                <w:bCs w:val="1"/>
                <w:color w:val="auto"/>
              </w:rPr>
              <w:t>Number of</w:t>
            </w:r>
          </w:p>
        </w:tc>
        <w:tc>
          <w:tcPr>
            <w:tcW w:w="1360" w:type="dxa"/>
            <w:vAlign w:val="bottom"/>
          </w:tcPr>
          <w:p>
            <w:pPr>
              <w:jc w:val="right"/>
              <w:ind w:right="432"/>
              <w:spacing w:after="0"/>
              <w:rPr>
                <w:sz w:val="20"/>
                <w:szCs w:val="20"/>
                <w:color w:val="auto"/>
              </w:rPr>
            </w:pPr>
            <w:r>
              <w:rPr>
                <w:rFonts w:ascii="Arial" w:cs="Arial" w:eastAsia="Arial" w:hAnsi="Arial"/>
                <w:sz w:val="18"/>
                <w:szCs w:val="18"/>
                <w:b w:val="1"/>
                <w:bCs w:val="1"/>
                <w:color w:val="auto"/>
              </w:rPr>
              <w:t>Options</w:t>
            </w:r>
          </w:p>
        </w:tc>
        <w:tc>
          <w:tcPr>
            <w:tcW w:w="1600" w:type="dxa"/>
            <w:vAlign w:val="bottom"/>
          </w:tcPr>
          <w:p>
            <w:pPr>
              <w:jc w:val="right"/>
              <w:ind w:right="652"/>
              <w:spacing w:after="0"/>
              <w:rPr>
                <w:sz w:val="20"/>
                <w:szCs w:val="20"/>
                <w:color w:val="auto"/>
              </w:rPr>
            </w:pPr>
            <w:r>
              <w:rPr>
                <w:rFonts w:ascii="Arial" w:cs="Arial" w:eastAsia="Arial" w:hAnsi="Arial"/>
                <w:sz w:val="18"/>
                <w:szCs w:val="18"/>
                <w:color w:val="auto"/>
              </w:rPr>
              <w:t>Number</w:t>
            </w:r>
          </w:p>
        </w:tc>
        <w:tc>
          <w:tcPr>
            <w:tcW w:w="1080" w:type="dxa"/>
            <w:vAlign w:val="bottom"/>
          </w:tcPr>
          <w:p>
            <w:pPr>
              <w:jc w:val="right"/>
              <w:ind w:right="412"/>
              <w:spacing w:after="0"/>
              <w:rPr>
                <w:sz w:val="20"/>
                <w:szCs w:val="20"/>
                <w:color w:val="auto"/>
              </w:rPr>
            </w:pPr>
            <w:r>
              <w:rPr>
                <w:rFonts w:ascii="Arial" w:cs="Arial" w:eastAsia="Arial" w:hAnsi="Arial"/>
                <w:sz w:val="18"/>
                <w:szCs w:val="18"/>
                <w:color w:val="auto"/>
                <w:w w:val="90"/>
              </w:rPr>
              <w:t>Options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60" w:type="dxa"/>
            <w:vAlign w:val="bottom"/>
          </w:tcPr>
          <w:p>
            <w:pPr>
              <w:ind w:left="340"/>
              <w:spacing w:after="0"/>
              <w:rPr>
                <w:sz w:val="20"/>
                <w:szCs w:val="20"/>
                <w:color w:val="auto"/>
              </w:rPr>
            </w:pPr>
            <w:r>
              <w:rPr>
                <w:rFonts w:ascii="Arial" w:cs="Arial" w:eastAsia="Arial" w:hAnsi="Arial"/>
                <w:sz w:val="18"/>
                <w:szCs w:val="18"/>
                <w:b w:val="1"/>
                <w:bCs w:val="1"/>
                <w:color w:val="auto"/>
              </w:rPr>
              <w:t>and description of</w:t>
            </w:r>
          </w:p>
        </w:tc>
        <w:tc>
          <w:tcPr>
            <w:tcW w:w="2360" w:type="dxa"/>
            <w:vAlign w:val="bottom"/>
          </w:tcPr>
          <w:p>
            <w:pPr>
              <w:jc w:val="right"/>
              <w:ind w:right="512"/>
              <w:spacing w:after="0"/>
              <w:rPr>
                <w:sz w:val="20"/>
                <w:szCs w:val="20"/>
                <w:color w:val="auto"/>
              </w:rPr>
            </w:pPr>
            <w:r>
              <w:rPr>
                <w:rFonts w:ascii="Arial" w:cs="Arial" w:eastAsia="Arial" w:hAnsi="Arial"/>
                <w:sz w:val="18"/>
                <w:szCs w:val="18"/>
                <w:b w:val="1"/>
                <w:bCs w:val="1"/>
                <w:color w:val="auto"/>
              </w:rPr>
              <w:t>shares</w:t>
            </w:r>
          </w:p>
        </w:tc>
        <w:tc>
          <w:tcPr>
            <w:tcW w:w="1360" w:type="dxa"/>
            <w:vAlign w:val="bottom"/>
          </w:tcPr>
          <w:p>
            <w:pPr>
              <w:spacing w:after="0"/>
              <w:rPr>
                <w:sz w:val="18"/>
                <w:szCs w:val="18"/>
                <w:color w:val="auto"/>
              </w:rPr>
            </w:pPr>
          </w:p>
        </w:tc>
        <w:tc>
          <w:tcPr>
            <w:tcW w:w="1600" w:type="dxa"/>
            <w:vAlign w:val="bottom"/>
          </w:tcPr>
          <w:p>
            <w:pPr>
              <w:jc w:val="right"/>
              <w:ind w:right="632"/>
              <w:spacing w:after="0"/>
              <w:rPr>
                <w:sz w:val="20"/>
                <w:szCs w:val="20"/>
                <w:color w:val="auto"/>
              </w:rPr>
            </w:pPr>
            <w:r>
              <w:rPr>
                <w:rFonts w:ascii="Arial" w:cs="Arial" w:eastAsia="Arial" w:hAnsi="Arial"/>
                <w:sz w:val="18"/>
                <w:szCs w:val="18"/>
                <w:color w:val="auto"/>
              </w:rPr>
              <w:t>of shares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060" w:type="dxa"/>
            <w:vAlign w:val="bottom"/>
          </w:tcPr>
          <w:p>
            <w:pPr>
              <w:ind w:left="340"/>
              <w:spacing w:after="0"/>
              <w:rPr>
                <w:sz w:val="20"/>
                <w:szCs w:val="20"/>
                <w:color w:val="auto"/>
              </w:rPr>
            </w:pPr>
            <w:r>
              <w:rPr>
                <w:rFonts w:ascii="Arial" w:cs="Arial" w:eastAsia="Arial" w:hAnsi="Arial"/>
                <w:sz w:val="18"/>
                <w:szCs w:val="18"/>
                <w:b w:val="1"/>
                <w:bCs w:val="1"/>
                <w:color w:val="auto"/>
              </w:rPr>
              <w:t>shares</w:t>
            </w: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vMerge w:val="restart"/>
          </w:tcPr>
          <w:p>
            <w:pPr>
              <w:spacing w:after="0"/>
              <w:rPr>
                <w:sz w:val="24"/>
                <w:szCs w:val="24"/>
                <w:color w:val="auto"/>
              </w:rPr>
            </w:pPr>
          </w:p>
        </w:tc>
        <w:tc>
          <w:tcPr>
            <w:tcW w:w="19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Thomas Lynch</w:t>
            </w: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plc</w:t>
            </w:r>
          </w:p>
        </w:tc>
        <w:tc>
          <w:tcPr>
            <w:tcW w:w="2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3,604</w:t>
            </w:r>
          </w:p>
        </w:tc>
        <w:tc>
          <w:tcPr>
            <w:tcW w:w="13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17,200</w:t>
            </w:r>
          </w:p>
        </w:tc>
        <w:tc>
          <w:tcPr>
            <w:tcW w:w="1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4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Ordinary Shares €0.06</w:t>
            </w:r>
          </w:p>
        </w:tc>
        <w:tc>
          <w:tcPr>
            <w:tcW w:w="236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1,204</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Ciaran Murray</w:t>
            </w: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plc</w:t>
            </w:r>
          </w:p>
        </w:tc>
        <w:tc>
          <w:tcPr>
            <w:tcW w:w="2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13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345,000</w:t>
            </w:r>
          </w:p>
        </w:tc>
        <w:tc>
          <w:tcPr>
            <w:tcW w:w="1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4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Ordinary Shares €0.06</w:t>
            </w:r>
          </w:p>
        </w:tc>
        <w:tc>
          <w:tcPr>
            <w:tcW w:w="236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295,000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Brendan Brennan</w:t>
            </w: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plc</w:t>
            </w:r>
          </w:p>
        </w:tc>
        <w:tc>
          <w:tcPr>
            <w:tcW w:w="2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13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29,840</w:t>
            </w:r>
          </w:p>
        </w:tc>
        <w:tc>
          <w:tcPr>
            <w:tcW w:w="1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4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Ordinary Shares €0.06</w:t>
            </w:r>
          </w:p>
        </w:tc>
        <w:tc>
          <w:tcPr>
            <w:tcW w:w="236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14,100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plc</w:t>
            </w:r>
          </w:p>
        </w:tc>
        <w:tc>
          <w:tcPr>
            <w:tcW w:w="2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1,607,568</w:t>
            </w:r>
          </w:p>
        </w:tc>
        <w:tc>
          <w:tcPr>
            <w:tcW w:w="13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90,000</w:t>
            </w:r>
          </w:p>
        </w:tc>
        <w:tc>
          <w:tcPr>
            <w:tcW w:w="1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4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Ordinary Shares €0.06</w:t>
            </w:r>
          </w:p>
        </w:tc>
        <w:tc>
          <w:tcPr>
            <w:tcW w:w="236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1,607,568</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88,000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Dr. Ronan Lambe</w:t>
            </w: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plc</w:t>
            </w:r>
          </w:p>
        </w:tc>
        <w:tc>
          <w:tcPr>
            <w:tcW w:w="2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400</w:t>
            </w:r>
          </w:p>
        </w:tc>
        <w:tc>
          <w:tcPr>
            <w:tcW w:w="13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16,000</w:t>
            </w:r>
          </w:p>
        </w:tc>
        <w:tc>
          <w:tcPr>
            <w:tcW w:w="1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4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Ordinary Shares €0.06</w:t>
            </w:r>
          </w:p>
        </w:tc>
        <w:tc>
          <w:tcPr>
            <w:tcW w:w="236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400</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Dr. Bruce Given</w:t>
            </w: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plc</w:t>
            </w:r>
          </w:p>
        </w:tc>
        <w:tc>
          <w:tcPr>
            <w:tcW w:w="2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500</w:t>
            </w:r>
          </w:p>
        </w:tc>
        <w:tc>
          <w:tcPr>
            <w:tcW w:w="13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24,000</w:t>
            </w:r>
          </w:p>
        </w:tc>
        <w:tc>
          <w:tcPr>
            <w:tcW w:w="1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4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Ordinary Shares €0.06</w:t>
            </w:r>
          </w:p>
        </w:tc>
        <w:tc>
          <w:tcPr>
            <w:tcW w:w="236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500</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Prof. Dermot Kelleher</w:t>
            </w: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plc</w:t>
            </w:r>
          </w:p>
        </w:tc>
        <w:tc>
          <w:tcPr>
            <w:tcW w:w="2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13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14,000</w:t>
            </w:r>
          </w:p>
        </w:tc>
        <w:tc>
          <w:tcPr>
            <w:tcW w:w="1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4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Ordinary Shares €0.06</w:t>
            </w:r>
          </w:p>
        </w:tc>
        <w:tc>
          <w:tcPr>
            <w:tcW w:w="236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Declan McKeon</w:t>
            </w: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plc</w:t>
            </w:r>
          </w:p>
        </w:tc>
        <w:tc>
          <w:tcPr>
            <w:tcW w:w="2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13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7,000</w:t>
            </w:r>
          </w:p>
        </w:tc>
        <w:tc>
          <w:tcPr>
            <w:tcW w:w="1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4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Ordinary Shares €0.06</w:t>
            </w:r>
          </w:p>
        </w:tc>
        <w:tc>
          <w:tcPr>
            <w:tcW w:w="236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Cathrin Petty</w:t>
            </w: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plc</w:t>
            </w:r>
          </w:p>
        </w:tc>
        <w:tc>
          <w:tcPr>
            <w:tcW w:w="2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13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7,000</w:t>
            </w:r>
          </w:p>
        </w:tc>
        <w:tc>
          <w:tcPr>
            <w:tcW w:w="1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4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Ordinary Shares €0.06</w:t>
            </w:r>
          </w:p>
        </w:tc>
        <w:tc>
          <w:tcPr>
            <w:tcW w:w="236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Prof William Hall</w:t>
            </w: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plc</w:t>
            </w:r>
          </w:p>
        </w:tc>
        <w:tc>
          <w:tcPr>
            <w:tcW w:w="2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13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4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Ordinary Shares €0.06</w:t>
            </w:r>
          </w:p>
        </w:tc>
        <w:tc>
          <w:tcPr>
            <w:tcW w:w="236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Diarmaid Cunningham</w:t>
            </w: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plc</w:t>
            </w:r>
          </w:p>
        </w:tc>
        <w:tc>
          <w:tcPr>
            <w:tcW w:w="2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13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22,000</w:t>
            </w:r>
          </w:p>
        </w:tc>
        <w:tc>
          <w:tcPr>
            <w:tcW w:w="1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40" w:type="dxa"/>
            <w:vAlign w:val="bottom"/>
            <w:tcBorders>
              <w:bottom w:val="single" w:sz="8" w:color="auto"/>
            </w:tcBorders>
            <w:shd w:val="clear" w:color="auto" w:fill="CCEEFF"/>
          </w:tcPr>
          <w:p>
            <w:pPr>
              <w:spacing w:after="0"/>
              <w:rPr>
                <w:sz w:val="21"/>
                <w:szCs w:val="21"/>
                <w:color w:val="auto"/>
              </w:rPr>
            </w:pPr>
          </w:p>
        </w:tc>
        <w:tc>
          <w:tcPr>
            <w:tcW w:w="3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Ordinary Shares €0.06</w:t>
            </w:r>
          </w:p>
        </w:tc>
        <w:tc>
          <w:tcPr>
            <w:tcW w:w="2360" w:type="dxa"/>
            <w:vAlign w:val="bottom"/>
            <w:tcBorders>
              <w:bottom w:val="single" w:sz="8" w:color="auto"/>
            </w:tcBorders>
            <w:vMerge w:val="continue"/>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*Or date of appointment if later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8. Payroll and related benefits </w:t>
            </w:r>
            <w:r>
              <w:rPr>
                <w:rFonts w:ascii="Arial" w:cs="Arial" w:eastAsia="Arial" w:hAnsi="Arial"/>
                <w:sz w:val="18"/>
                <w:szCs w:val="18"/>
                <w:b w:val="1"/>
                <w:bCs w:val="1"/>
                <w:i w:val="1"/>
                <w:iCs w:val="1"/>
                <w:color w:val="auto"/>
              </w:rPr>
              <w:t>(continued)</w:t>
            </w:r>
          </w:p>
        </w:tc>
        <w:tc>
          <w:tcPr>
            <w:tcW w:w="1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4840" w:type="dxa"/>
            <w:vAlign w:val="bottom"/>
            <w:gridSpan w:val="2"/>
          </w:tcPr>
          <w:p>
            <w:pPr>
              <w:spacing w:after="0"/>
              <w:rPr>
                <w:sz w:val="20"/>
                <w:szCs w:val="20"/>
                <w:color w:val="auto"/>
              </w:rPr>
            </w:pPr>
            <w:r>
              <w:rPr>
                <w:rFonts w:ascii="Arial" w:cs="Arial" w:eastAsia="Arial" w:hAnsi="Arial"/>
                <w:sz w:val="18"/>
                <w:szCs w:val="18"/>
                <w:color w:val="auto"/>
                <w:w w:val="93"/>
              </w:rPr>
              <w:t>Further details regarding the above share options are as follows:</w:t>
            </w: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b w:val="1"/>
                <w:bCs w:val="1"/>
                <w:color w:val="auto"/>
              </w:rPr>
              <w:t>Exercise</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80" w:type="dxa"/>
            <w:vAlign w:val="bottom"/>
          </w:tcPr>
          <w:p>
            <w:pPr>
              <w:jc w:val="right"/>
              <w:ind w:right="192"/>
              <w:spacing w:after="0"/>
              <w:rPr>
                <w:sz w:val="20"/>
                <w:szCs w:val="20"/>
                <w:color w:val="auto"/>
              </w:rPr>
            </w:pPr>
            <w:r>
              <w:rPr>
                <w:rFonts w:ascii="Arial" w:cs="Arial" w:eastAsia="Arial" w:hAnsi="Arial"/>
                <w:sz w:val="18"/>
                <w:szCs w:val="18"/>
                <w:b w:val="1"/>
                <w:bCs w:val="1"/>
                <w:color w:val="auto"/>
              </w:rPr>
              <w:t>Options</w:t>
            </w:r>
          </w:p>
        </w:tc>
        <w:tc>
          <w:tcPr>
            <w:tcW w:w="1260" w:type="dxa"/>
            <w:vAlign w:val="bottom"/>
          </w:tcPr>
          <w:p>
            <w:pPr>
              <w:jc w:val="right"/>
              <w:ind w:right="312"/>
              <w:spacing w:after="0"/>
              <w:rPr>
                <w:sz w:val="20"/>
                <w:szCs w:val="20"/>
                <w:color w:val="auto"/>
              </w:rPr>
            </w:pPr>
            <w:r>
              <w:rPr>
                <w:rFonts w:ascii="Arial" w:cs="Arial" w:eastAsia="Arial" w:hAnsi="Arial"/>
                <w:sz w:val="18"/>
                <w:szCs w:val="18"/>
                <w:b w:val="1"/>
                <w:bCs w:val="1"/>
                <w:color w:val="auto"/>
              </w:rPr>
              <w:t>price</w:t>
            </w:r>
          </w:p>
        </w:tc>
        <w:tc>
          <w:tcPr>
            <w:tcW w:w="2040" w:type="dxa"/>
            <w:vAlign w:val="bottom"/>
            <w:gridSpan w:val="3"/>
          </w:tcPr>
          <w:p>
            <w:pPr>
              <w:ind w:left="380"/>
              <w:spacing w:after="0"/>
              <w:rPr>
                <w:sz w:val="20"/>
                <w:szCs w:val="20"/>
                <w:color w:val="auto"/>
              </w:rPr>
            </w:pPr>
            <w:r>
              <w:rPr>
                <w:rFonts w:ascii="Arial" w:cs="Arial" w:eastAsia="Arial" w:hAnsi="Arial"/>
                <w:sz w:val="18"/>
                <w:szCs w:val="18"/>
                <w:b w:val="1"/>
                <w:bCs w:val="1"/>
                <w:color w:val="auto"/>
              </w:rPr>
              <w:t>Grant date</w:t>
            </w:r>
          </w:p>
        </w:tc>
        <w:tc>
          <w:tcPr>
            <w:tcW w:w="2100" w:type="dxa"/>
            <w:vAlign w:val="bottom"/>
            <w:gridSpan w:val="3"/>
          </w:tcPr>
          <w:p>
            <w:pPr>
              <w:ind w:left="400"/>
              <w:spacing w:after="0"/>
              <w:rPr>
                <w:sz w:val="20"/>
                <w:szCs w:val="20"/>
                <w:color w:val="auto"/>
              </w:rPr>
            </w:pPr>
            <w:r>
              <w:rPr>
                <w:rFonts w:ascii="Arial" w:cs="Arial" w:eastAsia="Arial" w:hAnsi="Arial"/>
                <w:sz w:val="18"/>
                <w:szCs w:val="18"/>
                <w:b w:val="1"/>
                <w:bCs w:val="1"/>
                <w:color w:val="auto"/>
              </w:rPr>
              <w:t>Expiry date</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Thomas Lynch</w:t>
            </w:r>
          </w:p>
        </w:tc>
        <w:tc>
          <w:tcPr>
            <w:tcW w:w="118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3,200</w:t>
            </w:r>
          </w:p>
        </w:tc>
        <w:tc>
          <w:tcPr>
            <w:tcW w:w="1260" w:type="dxa"/>
            <w:vAlign w:val="bottom"/>
            <w:shd w:val="clear" w:color="auto" w:fill="CCEEFF"/>
          </w:tcPr>
          <w:p>
            <w:pPr>
              <w:jc w:val="right"/>
              <w:ind w:right="312"/>
              <w:spacing w:after="0" w:line="200" w:lineRule="exact"/>
              <w:rPr>
                <w:sz w:val="20"/>
                <w:szCs w:val="20"/>
                <w:color w:val="auto"/>
              </w:rPr>
            </w:pPr>
            <w:r>
              <w:rPr>
                <w:rFonts w:ascii="Arial" w:cs="Arial" w:eastAsia="Arial" w:hAnsi="Arial"/>
                <w:sz w:val="18"/>
                <w:szCs w:val="18"/>
                <w:color w:val="auto"/>
              </w:rPr>
              <w:t>$11.00</w:t>
            </w:r>
          </w:p>
        </w:tc>
        <w:tc>
          <w:tcPr>
            <w:tcW w:w="500" w:type="dxa"/>
            <w:vAlign w:val="bottom"/>
            <w:shd w:val="clear" w:color="auto" w:fill="CCEEFF"/>
          </w:tcPr>
          <w:p>
            <w:pPr>
              <w:ind w:left="380"/>
              <w:spacing w:after="0" w:line="200" w:lineRule="exact"/>
              <w:rPr>
                <w:sz w:val="20"/>
                <w:szCs w:val="20"/>
                <w:color w:val="auto"/>
              </w:rPr>
            </w:pPr>
            <w:r>
              <w:rPr>
                <w:rFonts w:ascii="Arial" w:cs="Arial" w:eastAsia="Arial" w:hAnsi="Arial"/>
                <w:sz w:val="18"/>
                <w:szCs w:val="18"/>
                <w:color w:val="auto"/>
                <w:w w:val="99"/>
              </w:rPr>
              <w:t>3</w:t>
            </w:r>
          </w:p>
        </w:tc>
        <w:tc>
          <w:tcPr>
            <w:tcW w:w="1540" w:type="dxa"/>
            <w:vAlign w:val="bottom"/>
            <w:gridSpan w:val="2"/>
            <w:shd w:val="clear" w:color="auto" w:fill="CCEEFF"/>
          </w:tcPr>
          <w:p>
            <w:pPr>
              <w:ind w:left="20"/>
              <w:spacing w:after="0" w:line="200" w:lineRule="exact"/>
              <w:rPr>
                <w:sz w:val="20"/>
                <w:szCs w:val="20"/>
                <w:color w:val="auto"/>
              </w:rPr>
            </w:pPr>
            <w:r>
              <w:rPr>
                <w:rFonts w:ascii="Arial" w:cs="Arial" w:eastAsia="Arial" w:hAnsi="Arial"/>
                <w:sz w:val="18"/>
                <w:szCs w:val="18"/>
                <w:color w:val="auto"/>
              </w:rPr>
              <w:t>February 2006</w:t>
            </w:r>
          </w:p>
        </w:tc>
        <w:tc>
          <w:tcPr>
            <w:tcW w:w="500" w:type="dxa"/>
            <w:vAlign w:val="bottom"/>
            <w:shd w:val="clear" w:color="auto" w:fill="CCEEFF"/>
          </w:tcPr>
          <w:p>
            <w:pPr>
              <w:ind w:left="400"/>
              <w:spacing w:after="0" w:line="200" w:lineRule="exact"/>
              <w:rPr>
                <w:sz w:val="20"/>
                <w:szCs w:val="20"/>
                <w:color w:val="auto"/>
              </w:rPr>
            </w:pPr>
            <w:r>
              <w:rPr>
                <w:rFonts w:ascii="Arial" w:cs="Arial" w:eastAsia="Arial" w:hAnsi="Arial"/>
                <w:sz w:val="18"/>
                <w:szCs w:val="18"/>
                <w:color w:val="auto"/>
                <w:w w:val="79"/>
              </w:rPr>
              <w:t>3</w:t>
            </w:r>
          </w:p>
        </w:tc>
        <w:tc>
          <w:tcPr>
            <w:tcW w:w="1600" w:type="dxa"/>
            <w:vAlign w:val="bottom"/>
            <w:gridSpan w:val="2"/>
            <w:shd w:val="clear" w:color="auto" w:fill="CCEEFF"/>
          </w:tcPr>
          <w:p>
            <w:pPr>
              <w:ind w:left="20"/>
              <w:spacing w:after="0" w:line="200" w:lineRule="exact"/>
              <w:rPr>
                <w:sz w:val="20"/>
                <w:szCs w:val="20"/>
                <w:color w:val="auto"/>
              </w:rPr>
            </w:pPr>
            <w:r>
              <w:rPr>
                <w:rFonts w:ascii="Arial" w:cs="Arial" w:eastAsia="Arial" w:hAnsi="Arial"/>
                <w:sz w:val="18"/>
                <w:szCs w:val="18"/>
                <w:color w:val="auto"/>
              </w:rPr>
              <w:t>February 2014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$21.25</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16</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2007</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9"/>
              </w:rPr>
              <w:t>16</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$35.33</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26</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2008</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9"/>
              </w:rPr>
              <w:t>26</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$22.26</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25</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2009</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9"/>
              </w:rPr>
              <w:t>25</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$24.46</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4</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2010</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4</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$20.28</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3</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2019</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8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2,000</w:t>
            </w:r>
          </w:p>
        </w:tc>
        <w:tc>
          <w:tcPr>
            <w:tcW w:w="12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$22.30</w:t>
            </w:r>
          </w:p>
        </w:tc>
        <w:tc>
          <w:tcPr>
            <w:tcW w:w="58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w w:val="89"/>
              </w:rPr>
              <w:t>27</w:t>
            </w:r>
          </w:p>
        </w:tc>
        <w:tc>
          <w:tcPr>
            <w:tcW w:w="1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April 2012</w:t>
            </w:r>
          </w:p>
        </w:tc>
        <w:tc>
          <w:tcPr>
            <w:tcW w:w="60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w w:val="89"/>
              </w:rPr>
              <w:t>27</w:t>
            </w:r>
          </w:p>
        </w:tc>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2020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Ciaran Murray</w:t>
            </w:r>
          </w:p>
        </w:tc>
        <w:tc>
          <w:tcPr>
            <w:tcW w:w="118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20,000</w:t>
            </w:r>
          </w:p>
        </w:tc>
        <w:tc>
          <w:tcPr>
            <w:tcW w:w="1260" w:type="dxa"/>
            <w:vAlign w:val="bottom"/>
            <w:shd w:val="clear" w:color="auto" w:fill="CCEEFF"/>
          </w:tcPr>
          <w:p>
            <w:pPr>
              <w:jc w:val="right"/>
              <w:ind w:right="312"/>
              <w:spacing w:after="0" w:line="200" w:lineRule="exact"/>
              <w:rPr>
                <w:sz w:val="20"/>
                <w:szCs w:val="20"/>
                <w:color w:val="auto"/>
              </w:rPr>
            </w:pPr>
            <w:r>
              <w:rPr>
                <w:rFonts w:ascii="Arial" w:cs="Arial" w:eastAsia="Arial" w:hAnsi="Arial"/>
                <w:sz w:val="18"/>
                <w:szCs w:val="18"/>
                <w:color w:val="auto"/>
              </w:rPr>
              <w:t>$10.42</w:t>
            </w:r>
          </w:p>
        </w:tc>
        <w:tc>
          <w:tcPr>
            <w:tcW w:w="580" w:type="dxa"/>
            <w:vAlign w:val="bottom"/>
            <w:gridSpan w:val="2"/>
            <w:shd w:val="clear" w:color="auto" w:fill="CCEEFF"/>
          </w:tcPr>
          <w:p>
            <w:pPr>
              <w:ind w:left="380"/>
              <w:spacing w:after="0" w:line="200" w:lineRule="exact"/>
              <w:rPr>
                <w:sz w:val="20"/>
                <w:szCs w:val="20"/>
                <w:color w:val="auto"/>
              </w:rPr>
            </w:pPr>
            <w:r>
              <w:rPr>
                <w:rFonts w:ascii="Arial" w:cs="Arial" w:eastAsia="Arial" w:hAnsi="Arial"/>
                <w:sz w:val="18"/>
                <w:szCs w:val="18"/>
                <w:color w:val="auto"/>
                <w:w w:val="89"/>
              </w:rPr>
              <w:t>17</w:t>
            </w:r>
          </w:p>
        </w:tc>
        <w:tc>
          <w:tcPr>
            <w:tcW w:w="1460" w:type="dxa"/>
            <w:vAlign w:val="bottom"/>
            <w:shd w:val="clear" w:color="auto" w:fill="CCEEFF"/>
          </w:tcPr>
          <w:p>
            <w:pPr>
              <w:ind w:left="40"/>
              <w:spacing w:after="0" w:line="200" w:lineRule="exact"/>
              <w:rPr>
                <w:sz w:val="20"/>
                <w:szCs w:val="20"/>
                <w:color w:val="auto"/>
              </w:rPr>
            </w:pPr>
            <w:r>
              <w:rPr>
                <w:rFonts w:ascii="Arial" w:cs="Arial" w:eastAsia="Arial" w:hAnsi="Arial"/>
                <w:sz w:val="18"/>
                <w:szCs w:val="18"/>
                <w:color w:val="auto"/>
              </w:rPr>
              <w:t>January 2006</w:t>
            </w:r>
          </w:p>
        </w:tc>
        <w:tc>
          <w:tcPr>
            <w:tcW w:w="600" w:type="dxa"/>
            <w:vAlign w:val="bottom"/>
            <w:gridSpan w:val="2"/>
            <w:shd w:val="clear" w:color="auto" w:fill="CCEEFF"/>
          </w:tcPr>
          <w:p>
            <w:pPr>
              <w:ind w:left="400"/>
              <w:spacing w:after="0" w:line="200" w:lineRule="exact"/>
              <w:rPr>
                <w:sz w:val="20"/>
                <w:szCs w:val="20"/>
                <w:color w:val="auto"/>
              </w:rPr>
            </w:pPr>
            <w:r>
              <w:rPr>
                <w:rFonts w:ascii="Arial" w:cs="Arial" w:eastAsia="Arial" w:hAnsi="Arial"/>
                <w:sz w:val="18"/>
                <w:szCs w:val="18"/>
                <w:color w:val="auto"/>
                <w:w w:val="89"/>
              </w:rPr>
              <w:t>17</w:t>
            </w:r>
          </w:p>
        </w:tc>
        <w:tc>
          <w:tcPr>
            <w:tcW w:w="15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January 2014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18,000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$11.00</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3</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2006</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2014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16,000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$21.25</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16</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2007</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9"/>
              </w:rPr>
              <w:t>16</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$35.33</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26</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2008</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9"/>
              </w:rPr>
              <w:t>26</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17,000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$22.26</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25</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2009</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9"/>
              </w:rPr>
              <w:t>25</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30,000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$24.46</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4</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2010</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4</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30,000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$20.28</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3</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150,000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$16.80</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31</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October 2011</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9"/>
              </w:rPr>
              <w:t>31</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2019</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8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50,000</w:t>
            </w:r>
          </w:p>
        </w:tc>
        <w:tc>
          <w:tcPr>
            <w:tcW w:w="12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$22.30</w:t>
            </w:r>
          </w:p>
        </w:tc>
        <w:tc>
          <w:tcPr>
            <w:tcW w:w="58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w w:val="89"/>
              </w:rPr>
              <w:t>27</w:t>
            </w:r>
          </w:p>
        </w:tc>
        <w:tc>
          <w:tcPr>
            <w:tcW w:w="1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April 2012</w:t>
            </w:r>
          </w:p>
        </w:tc>
        <w:tc>
          <w:tcPr>
            <w:tcW w:w="60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w w:val="89"/>
              </w:rPr>
              <w:t>27</w:t>
            </w:r>
          </w:p>
        </w:tc>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2020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Brendan Brennan</w:t>
            </w:r>
          </w:p>
        </w:tc>
        <w:tc>
          <w:tcPr>
            <w:tcW w:w="118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2,000</w:t>
            </w:r>
          </w:p>
        </w:tc>
        <w:tc>
          <w:tcPr>
            <w:tcW w:w="1260" w:type="dxa"/>
            <w:vAlign w:val="bottom"/>
            <w:shd w:val="clear" w:color="auto" w:fill="CCEEFF"/>
          </w:tcPr>
          <w:p>
            <w:pPr>
              <w:jc w:val="right"/>
              <w:ind w:right="312"/>
              <w:spacing w:after="0" w:line="200" w:lineRule="exact"/>
              <w:rPr>
                <w:sz w:val="20"/>
                <w:szCs w:val="20"/>
                <w:color w:val="auto"/>
              </w:rPr>
            </w:pPr>
            <w:r>
              <w:rPr>
                <w:rFonts w:ascii="Arial" w:cs="Arial" w:eastAsia="Arial" w:hAnsi="Arial"/>
                <w:sz w:val="18"/>
                <w:szCs w:val="18"/>
                <w:color w:val="auto"/>
              </w:rPr>
              <w:t>$35.33</w:t>
            </w:r>
          </w:p>
        </w:tc>
        <w:tc>
          <w:tcPr>
            <w:tcW w:w="580" w:type="dxa"/>
            <w:vAlign w:val="bottom"/>
            <w:gridSpan w:val="2"/>
            <w:shd w:val="clear" w:color="auto" w:fill="CCEEFF"/>
          </w:tcPr>
          <w:p>
            <w:pPr>
              <w:ind w:left="380"/>
              <w:spacing w:after="0" w:line="200" w:lineRule="exact"/>
              <w:rPr>
                <w:sz w:val="20"/>
                <w:szCs w:val="20"/>
                <w:color w:val="auto"/>
              </w:rPr>
            </w:pPr>
            <w:r>
              <w:rPr>
                <w:rFonts w:ascii="Arial" w:cs="Arial" w:eastAsia="Arial" w:hAnsi="Arial"/>
                <w:sz w:val="18"/>
                <w:szCs w:val="18"/>
                <w:color w:val="auto"/>
                <w:w w:val="89"/>
              </w:rPr>
              <w:t>26</w:t>
            </w:r>
          </w:p>
        </w:tc>
        <w:tc>
          <w:tcPr>
            <w:tcW w:w="1460" w:type="dxa"/>
            <w:vAlign w:val="bottom"/>
            <w:shd w:val="clear" w:color="auto" w:fill="CCEEFF"/>
          </w:tcPr>
          <w:p>
            <w:pPr>
              <w:ind w:left="40"/>
              <w:spacing w:after="0" w:line="200" w:lineRule="exact"/>
              <w:rPr>
                <w:sz w:val="20"/>
                <w:szCs w:val="20"/>
                <w:color w:val="auto"/>
              </w:rPr>
            </w:pPr>
            <w:r>
              <w:rPr>
                <w:rFonts w:ascii="Arial" w:cs="Arial" w:eastAsia="Arial" w:hAnsi="Arial"/>
                <w:sz w:val="18"/>
                <w:szCs w:val="18"/>
                <w:color w:val="auto"/>
              </w:rPr>
              <w:t>February 2008</w:t>
            </w:r>
          </w:p>
        </w:tc>
        <w:tc>
          <w:tcPr>
            <w:tcW w:w="600" w:type="dxa"/>
            <w:vAlign w:val="bottom"/>
            <w:gridSpan w:val="2"/>
            <w:shd w:val="clear" w:color="auto" w:fill="CCEEFF"/>
          </w:tcPr>
          <w:p>
            <w:pPr>
              <w:ind w:left="400"/>
              <w:spacing w:after="0" w:line="200" w:lineRule="exact"/>
              <w:rPr>
                <w:sz w:val="20"/>
                <w:szCs w:val="20"/>
                <w:color w:val="auto"/>
              </w:rPr>
            </w:pPr>
            <w:r>
              <w:rPr>
                <w:rFonts w:ascii="Arial" w:cs="Arial" w:eastAsia="Arial" w:hAnsi="Arial"/>
                <w:sz w:val="18"/>
                <w:szCs w:val="18"/>
                <w:color w:val="auto"/>
                <w:w w:val="89"/>
              </w:rPr>
              <w:t>26</w:t>
            </w:r>
          </w:p>
        </w:tc>
        <w:tc>
          <w:tcPr>
            <w:tcW w:w="15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February 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840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$22.26</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25</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2009</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9"/>
              </w:rPr>
              <w:t>25</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$24.46</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4</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2010</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4</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$20.28</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3</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2019</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8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20,000</w:t>
            </w:r>
          </w:p>
        </w:tc>
        <w:tc>
          <w:tcPr>
            <w:tcW w:w="126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$20.59</w:t>
            </w:r>
          </w:p>
        </w:tc>
        <w:tc>
          <w:tcPr>
            <w:tcW w:w="58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w w:val="89"/>
              </w:rPr>
              <w:t>22</w:t>
            </w:r>
          </w:p>
        </w:tc>
        <w:tc>
          <w:tcPr>
            <w:tcW w:w="1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February 2012</w:t>
            </w:r>
          </w:p>
        </w:tc>
        <w:tc>
          <w:tcPr>
            <w:tcW w:w="60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w w:val="89"/>
              </w:rPr>
              <w:t>22</w:t>
            </w:r>
          </w:p>
        </w:tc>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2020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Dr. John Climax</w:t>
            </w:r>
          </w:p>
        </w:tc>
        <w:tc>
          <w:tcPr>
            <w:tcW w:w="118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12,000</w:t>
            </w:r>
          </w:p>
        </w:tc>
        <w:tc>
          <w:tcPr>
            <w:tcW w:w="1260" w:type="dxa"/>
            <w:vAlign w:val="bottom"/>
            <w:shd w:val="clear" w:color="auto" w:fill="CCEEFF"/>
          </w:tcPr>
          <w:p>
            <w:pPr>
              <w:jc w:val="right"/>
              <w:ind w:right="312"/>
              <w:spacing w:after="0" w:line="200" w:lineRule="exact"/>
              <w:rPr>
                <w:sz w:val="20"/>
                <w:szCs w:val="20"/>
                <w:color w:val="auto"/>
              </w:rPr>
            </w:pPr>
            <w:r>
              <w:rPr>
                <w:rFonts w:ascii="Arial" w:cs="Arial" w:eastAsia="Arial" w:hAnsi="Arial"/>
                <w:sz w:val="18"/>
                <w:szCs w:val="18"/>
                <w:color w:val="auto"/>
              </w:rPr>
              <w:t>$11.00</w:t>
            </w:r>
          </w:p>
        </w:tc>
        <w:tc>
          <w:tcPr>
            <w:tcW w:w="500" w:type="dxa"/>
            <w:vAlign w:val="bottom"/>
            <w:shd w:val="clear" w:color="auto" w:fill="CCEEFF"/>
          </w:tcPr>
          <w:p>
            <w:pPr>
              <w:ind w:left="380"/>
              <w:spacing w:after="0" w:line="200" w:lineRule="exact"/>
              <w:rPr>
                <w:sz w:val="20"/>
                <w:szCs w:val="20"/>
                <w:color w:val="auto"/>
              </w:rPr>
            </w:pPr>
            <w:r>
              <w:rPr>
                <w:rFonts w:ascii="Arial" w:cs="Arial" w:eastAsia="Arial" w:hAnsi="Arial"/>
                <w:sz w:val="18"/>
                <w:szCs w:val="18"/>
                <w:color w:val="auto"/>
                <w:w w:val="99"/>
              </w:rPr>
              <w:t>3</w:t>
            </w:r>
          </w:p>
        </w:tc>
        <w:tc>
          <w:tcPr>
            <w:tcW w:w="1540" w:type="dxa"/>
            <w:vAlign w:val="bottom"/>
            <w:gridSpan w:val="2"/>
            <w:shd w:val="clear" w:color="auto" w:fill="CCEEFF"/>
          </w:tcPr>
          <w:p>
            <w:pPr>
              <w:ind w:left="20"/>
              <w:spacing w:after="0" w:line="200" w:lineRule="exact"/>
              <w:rPr>
                <w:sz w:val="20"/>
                <w:szCs w:val="20"/>
                <w:color w:val="auto"/>
              </w:rPr>
            </w:pPr>
            <w:r>
              <w:rPr>
                <w:rFonts w:ascii="Arial" w:cs="Arial" w:eastAsia="Arial" w:hAnsi="Arial"/>
                <w:sz w:val="18"/>
                <w:szCs w:val="18"/>
                <w:color w:val="auto"/>
              </w:rPr>
              <w:t>February 2006</w:t>
            </w:r>
          </w:p>
        </w:tc>
        <w:tc>
          <w:tcPr>
            <w:tcW w:w="500" w:type="dxa"/>
            <w:vAlign w:val="bottom"/>
            <w:shd w:val="clear" w:color="auto" w:fill="CCEEFF"/>
          </w:tcPr>
          <w:p>
            <w:pPr>
              <w:ind w:left="400"/>
              <w:spacing w:after="0" w:line="200" w:lineRule="exact"/>
              <w:rPr>
                <w:sz w:val="20"/>
                <w:szCs w:val="20"/>
                <w:color w:val="auto"/>
              </w:rPr>
            </w:pPr>
            <w:r>
              <w:rPr>
                <w:rFonts w:ascii="Arial" w:cs="Arial" w:eastAsia="Arial" w:hAnsi="Arial"/>
                <w:sz w:val="18"/>
                <w:szCs w:val="18"/>
                <w:color w:val="auto"/>
                <w:w w:val="79"/>
              </w:rPr>
              <w:t>3</w:t>
            </w:r>
          </w:p>
        </w:tc>
        <w:tc>
          <w:tcPr>
            <w:tcW w:w="1600" w:type="dxa"/>
            <w:vAlign w:val="bottom"/>
            <w:gridSpan w:val="2"/>
            <w:shd w:val="clear" w:color="auto" w:fill="CCEEFF"/>
          </w:tcPr>
          <w:p>
            <w:pPr>
              <w:ind w:left="20"/>
              <w:spacing w:after="0" w:line="200" w:lineRule="exact"/>
              <w:rPr>
                <w:sz w:val="20"/>
                <w:szCs w:val="20"/>
                <w:color w:val="auto"/>
              </w:rPr>
            </w:pPr>
            <w:r>
              <w:rPr>
                <w:rFonts w:ascii="Arial" w:cs="Arial" w:eastAsia="Arial" w:hAnsi="Arial"/>
                <w:sz w:val="18"/>
                <w:szCs w:val="18"/>
                <w:color w:val="auto"/>
              </w:rPr>
              <w:t>February 2014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12,000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$21.25</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16</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2007</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9"/>
              </w:rPr>
              <w:t>16</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$35.33</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26</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2008</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9"/>
              </w:rPr>
              <w:t>26</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50,000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$15.84</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30</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2009</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9"/>
              </w:rPr>
              <w:t>30</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$24.46</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4</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2010</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4</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$20.28</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3</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2019</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8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2,000</w:t>
            </w:r>
          </w:p>
        </w:tc>
        <w:tc>
          <w:tcPr>
            <w:tcW w:w="12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$22.30</w:t>
            </w:r>
          </w:p>
        </w:tc>
        <w:tc>
          <w:tcPr>
            <w:tcW w:w="58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w w:val="89"/>
              </w:rPr>
              <w:t>27</w:t>
            </w:r>
          </w:p>
        </w:tc>
        <w:tc>
          <w:tcPr>
            <w:tcW w:w="1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April 2012</w:t>
            </w:r>
          </w:p>
        </w:tc>
        <w:tc>
          <w:tcPr>
            <w:tcW w:w="60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w w:val="89"/>
              </w:rPr>
              <w:t>27</w:t>
            </w:r>
          </w:p>
        </w:tc>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2020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Dr. Ronan Lambe</w:t>
            </w:r>
          </w:p>
        </w:tc>
        <w:tc>
          <w:tcPr>
            <w:tcW w:w="118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4,000</w:t>
            </w:r>
          </w:p>
        </w:tc>
        <w:tc>
          <w:tcPr>
            <w:tcW w:w="1260" w:type="dxa"/>
            <w:vAlign w:val="bottom"/>
            <w:shd w:val="clear" w:color="auto" w:fill="CCEEFF"/>
          </w:tcPr>
          <w:p>
            <w:pPr>
              <w:jc w:val="right"/>
              <w:ind w:right="312"/>
              <w:spacing w:after="0" w:line="200" w:lineRule="exact"/>
              <w:rPr>
                <w:sz w:val="20"/>
                <w:szCs w:val="20"/>
                <w:color w:val="auto"/>
              </w:rPr>
            </w:pPr>
            <w:r>
              <w:rPr>
                <w:rFonts w:ascii="Arial" w:cs="Arial" w:eastAsia="Arial" w:hAnsi="Arial"/>
                <w:sz w:val="18"/>
                <w:szCs w:val="18"/>
                <w:color w:val="auto"/>
              </w:rPr>
              <w:t>$11.00</w:t>
            </w:r>
          </w:p>
        </w:tc>
        <w:tc>
          <w:tcPr>
            <w:tcW w:w="500" w:type="dxa"/>
            <w:vAlign w:val="bottom"/>
            <w:shd w:val="clear" w:color="auto" w:fill="CCEEFF"/>
          </w:tcPr>
          <w:p>
            <w:pPr>
              <w:ind w:left="380"/>
              <w:spacing w:after="0" w:line="200" w:lineRule="exact"/>
              <w:rPr>
                <w:sz w:val="20"/>
                <w:szCs w:val="20"/>
                <w:color w:val="auto"/>
              </w:rPr>
            </w:pPr>
            <w:r>
              <w:rPr>
                <w:rFonts w:ascii="Arial" w:cs="Arial" w:eastAsia="Arial" w:hAnsi="Arial"/>
                <w:sz w:val="18"/>
                <w:szCs w:val="18"/>
                <w:color w:val="auto"/>
                <w:w w:val="99"/>
              </w:rPr>
              <w:t>3</w:t>
            </w:r>
          </w:p>
        </w:tc>
        <w:tc>
          <w:tcPr>
            <w:tcW w:w="1540" w:type="dxa"/>
            <w:vAlign w:val="bottom"/>
            <w:gridSpan w:val="2"/>
            <w:shd w:val="clear" w:color="auto" w:fill="CCEEFF"/>
          </w:tcPr>
          <w:p>
            <w:pPr>
              <w:ind w:left="20"/>
              <w:spacing w:after="0" w:line="200" w:lineRule="exact"/>
              <w:rPr>
                <w:sz w:val="20"/>
                <w:szCs w:val="20"/>
                <w:color w:val="auto"/>
              </w:rPr>
            </w:pPr>
            <w:r>
              <w:rPr>
                <w:rFonts w:ascii="Arial" w:cs="Arial" w:eastAsia="Arial" w:hAnsi="Arial"/>
                <w:sz w:val="18"/>
                <w:szCs w:val="18"/>
                <w:color w:val="auto"/>
              </w:rPr>
              <w:t>February 2006</w:t>
            </w:r>
          </w:p>
        </w:tc>
        <w:tc>
          <w:tcPr>
            <w:tcW w:w="500" w:type="dxa"/>
            <w:vAlign w:val="bottom"/>
            <w:shd w:val="clear" w:color="auto" w:fill="CCEEFF"/>
          </w:tcPr>
          <w:p>
            <w:pPr>
              <w:ind w:left="400"/>
              <w:spacing w:after="0" w:line="200" w:lineRule="exact"/>
              <w:rPr>
                <w:sz w:val="20"/>
                <w:szCs w:val="20"/>
                <w:color w:val="auto"/>
              </w:rPr>
            </w:pPr>
            <w:r>
              <w:rPr>
                <w:rFonts w:ascii="Arial" w:cs="Arial" w:eastAsia="Arial" w:hAnsi="Arial"/>
                <w:sz w:val="18"/>
                <w:szCs w:val="18"/>
                <w:color w:val="auto"/>
                <w:w w:val="79"/>
              </w:rPr>
              <w:t>3</w:t>
            </w:r>
          </w:p>
        </w:tc>
        <w:tc>
          <w:tcPr>
            <w:tcW w:w="1600" w:type="dxa"/>
            <w:vAlign w:val="bottom"/>
            <w:gridSpan w:val="2"/>
            <w:shd w:val="clear" w:color="auto" w:fill="CCEEFF"/>
          </w:tcPr>
          <w:p>
            <w:pPr>
              <w:ind w:left="20"/>
              <w:spacing w:after="0" w:line="200" w:lineRule="exact"/>
              <w:rPr>
                <w:sz w:val="20"/>
                <w:szCs w:val="20"/>
                <w:color w:val="auto"/>
              </w:rPr>
            </w:pPr>
            <w:r>
              <w:rPr>
                <w:rFonts w:ascii="Arial" w:cs="Arial" w:eastAsia="Arial" w:hAnsi="Arial"/>
                <w:sz w:val="18"/>
                <w:szCs w:val="18"/>
                <w:color w:val="auto"/>
              </w:rPr>
              <w:t>February 2014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$21.25</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16</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2007</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9"/>
              </w:rPr>
              <w:t>16</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$35.33</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26</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2008</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9"/>
              </w:rPr>
              <w:t>26</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$22.26</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25</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2009</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9"/>
              </w:rPr>
              <w:t>25</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$24.46</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4</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2010</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4</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2,000</w:t>
            </w:r>
          </w:p>
        </w:tc>
        <w:tc>
          <w:tcPr>
            <w:tcW w:w="1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$20.28</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3</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2019</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8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2,000</w:t>
            </w:r>
          </w:p>
        </w:tc>
        <w:tc>
          <w:tcPr>
            <w:tcW w:w="12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$22.30</w:t>
            </w:r>
          </w:p>
        </w:tc>
        <w:tc>
          <w:tcPr>
            <w:tcW w:w="58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w w:val="89"/>
              </w:rPr>
              <w:t>27</w:t>
            </w:r>
          </w:p>
        </w:tc>
        <w:tc>
          <w:tcPr>
            <w:tcW w:w="1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April 2012</w:t>
            </w:r>
          </w:p>
        </w:tc>
        <w:tc>
          <w:tcPr>
            <w:tcW w:w="60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w w:val="89"/>
              </w:rPr>
              <w:t>27</w:t>
            </w:r>
          </w:p>
        </w:tc>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2020</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48</w:t>
            </w: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8. Payroll and related benefits </w:t>
            </w:r>
            <w:r>
              <w:rPr>
                <w:rFonts w:ascii="Arial" w:cs="Arial" w:eastAsia="Arial" w:hAnsi="Arial"/>
                <w:sz w:val="18"/>
                <w:szCs w:val="18"/>
                <w:b w:val="1"/>
                <w:bCs w:val="1"/>
                <w:i w:val="1"/>
                <w:iCs w:val="1"/>
                <w:color w:val="auto"/>
              </w:rPr>
              <w:t>(continued)</w:t>
            </w:r>
          </w:p>
        </w:tc>
        <w:tc>
          <w:tcPr>
            <w:tcW w:w="18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00" w:type="dxa"/>
            <w:vAlign w:val="bottom"/>
          </w:tcPr>
          <w:p>
            <w:pPr>
              <w:jc w:val="right"/>
              <w:ind w:right="312"/>
              <w:spacing w:after="0"/>
              <w:rPr>
                <w:sz w:val="20"/>
                <w:szCs w:val="20"/>
                <w:color w:val="auto"/>
              </w:rPr>
            </w:pPr>
            <w:r>
              <w:rPr>
                <w:rFonts w:ascii="Arial" w:cs="Arial" w:eastAsia="Arial" w:hAnsi="Arial"/>
                <w:sz w:val="18"/>
                <w:szCs w:val="18"/>
                <w:b w:val="1"/>
                <w:bCs w:val="1"/>
                <w:color w:val="auto"/>
              </w:rPr>
              <w:t>Exercise</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840" w:type="dxa"/>
            <w:vAlign w:val="bottom"/>
          </w:tcPr>
          <w:p>
            <w:pPr>
              <w:jc w:val="right"/>
              <w:ind w:right="152"/>
              <w:spacing w:after="0"/>
              <w:rPr>
                <w:sz w:val="20"/>
                <w:szCs w:val="20"/>
                <w:color w:val="auto"/>
              </w:rPr>
            </w:pPr>
            <w:r>
              <w:rPr>
                <w:rFonts w:ascii="Arial" w:cs="Arial" w:eastAsia="Arial" w:hAnsi="Arial"/>
                <w:sz w:val="18"/>
                <w:szCs w:val="18"/>
                <w:b w:val="1"/>
                <w:bCs w:val="1"/>
                <w:color w:val="auto"/>
              </w:rPr>
              <w:t>Options</w:t>
            </w:r>
          </w:p>
        </w:tc>
        <w:tc>
          <w:tcPr>
            <w:tcW w:w="1300" w:type="dxa"/>
            <w:vAlign w:val="bottom"/>
          </w:tcPr>
          <w:p>
            <w:pPr>
              <w:jc w:val="right"/>
              <w:ind w:right="312"/>
              <w:spacing w:after="0"/>
              <w:rPr>
                <w:sz w:val="20"/>
                <w:szCs w:val="20"/>
                <w:color w:val="auto"/>
              </w:rPr>
            </w:pPr>
            <w:r>
              <w:rPr>
                <w:rFonts w:ascii="Arial" w:cs="Arial" w:eastAsia="Arial" w:hAnsi="Arial"/>
                <w:sz w:val="18"/>
                <w:szCs w:val="18"/>
                <w:b w:val="1"/>
                <w:bCs w:val="1"/>
                <w:color w:val="auto"/>
              </w:rPr>
              <w:t>price</w:t>
            </w:r>
          </w:p>
        </w:tc>
        <w:tc>
          <w:tcPr>
            <w:tcW w:w="2040" w:type="dxa"/>
            <w:vAlign w:val="bottom"/>
            <w:gridSpan w:val="3"/>
          </w:tcPr>
          <w:p>
            <w:pPr>
              <w:ind w:left="380"/>
              <w:spacing w:after="0"/>
              <w:rPr>
                <w:sz w:val="20"/>
                <w:szCs w:val="20"/>
                <w:color w:val="auto"/>
              </w:rPr>
            </w:pPr>
            <w:r>
              <w:rPr>
                <w:rFonts w:ascii="Arial" w:cs="Arial" w:eastAsia="Arial" w:hAnsi="Arial"/>
                <w:sz w:val="18"/>
                <w:szCs w:val="18"/>
                <w:b w:val="1"/>
                <w:bCs w:val="1"/>
                <w:color w:val="auto"/>
              </w:rPr>
              <w:t>Grant date</w:t>
            </w:r>
          </w:p>
        </w:tc>
        <w:tc>
          <w:tcPr>
            <w:tcW w:w="2100" w:type="dxa"/>
            <w:vAlign w:val="bottom"/>
            <w:gridSpan w:val="3"/>
          </w:tcPr>
          <w:p>
            <w:pPr>
              <w:ind w:left="400"/>
              <w:spacing w:after="0"/>
              <w:rPr>
                <w:sz w:val="20"/>
                <w:szCs w:val="20"/>
                <w:color w:val="auto"/>
              </w:rPr>
            </w:pPr>
            <w:r>
              <w:rPr>
                <w:rFonts w:ascii="Arial" w:cs="Arial" w:eastAsia="Arial" w:hAnsi="Arial"/>
                <w:sz w:val="18"/>
                <w:szCs w:val="18"/>
                <w:b w:val="1"/>
                <w:bCs w:val="1"/>
                <w:color w:val="auto"/>
              </w:rPr>
              <w:t>Expiry date</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Dr. Bruce Given</w:t>
            </w:r>
          </w:p>
        </w:tc>
        <w:tc>
          <w:tcPr>
            <w:tcW w:w="1840" w:type="dxa"/>
            <w:vAlign w:val="bottom"/>
            <w:shd w:val="clear" w:color="auto" w:fill="CCEEFF"/>
          </w:tcPr>
          <w:p>
            <w:pPr>
              <w:jc w:val="right"/>
              <w:ind w:right="152"/>
              <w:spacing w:after="0" w:line="200" w:lineRule="exact"/>
              <w:rPr>
                <w:sz w:val="20"/>
                <w:szCs w:val="20"/>
                <w:color w:val="auto"/>
              </w:rPr>
            </w:pPr>
            <w:r>
              <w:rPr>
                <w:rFonts w:ascii="Arial" w:cs="Arial" w:eastAsia="Arial" w:hAnsi="Arial"/>
                <w:sz w:val="18"/>
                <w:szCs w:val="18"/>
                <w:color w:val="auto"/>
              </w:rPr>
              <w:t>4,000</w:t>
            </w:r>
          </w:p>
        </w:tc>
        <w:tc>
          <w:tcPr>
            <w:tcW w:w="1300" w:type="dxa"/>
            <w:vAlign w:val="bottom"/>
            <w:shd w:val="clear" w:color="auto" w:fill="CCEEFF"/>
          </w:tcPr>
          <w:p>
            <w:pPr>
              <w:jc w:val="right"/>
              <w:ind w:right="312"/>
              <w:spacing w:after="0" w:line="200" w:lineRule="exact"/>
              <w:rPr>
                <w:sz w:val="20"/>
                <w:szCs w:val="20"/>
                <w:color w:val="auto"/>
              </w:rPr>
            </w:pPr>
            <w:r>
              <w:rPr>
                <w:rFonts w:ascii="Arial" w:cs="Arial" w:eastAsia="Arial" w:hAnsi="Arial"/>
                <w:sz w:val="18"/>
                <w:szCs w:val="18"/>
                <w:color w:val="auto"/>
              </w:rPr>
              <w:t>$11.00</w:t>
            </w:r>
          </w:p>
        </w:tc>
        <w:tc>
          <w:tcPr>
            <w:tcW w:w="500" w:type="dxa"/>
            <w:vAlign w:val="bottom"/>
            <w:shd w:val="clear" w:color="auto" w:fill="CCEEFF"/>
          </w:tcPr>
          <w:p>
            <w:pPr>
              <w:ind w:left="380"/>
              <w:spacing w:after="0" w:line="200" w:lineRule="exact"/>
              <w:rPr>
                <w:sz w:val="20"/>
                <w:szCs w:val="20"/>
                <w:color w:val="auto"/>
              </w:rPr>
            </w:pPr>
            <w:r>
              <w:rPr>
                <w:rFonts w:ascii="Arial" w:cs="Arial" w:eastAsia="Arial" w:hAnsi="Arial"/>
                <w:sz w:val="18"/>
                <w:szCs w:val="18"/>
                <w:color w:val="auto"/>
                <w:w w:val="99"/>
              </w:rPr>
              <w:t>3</w:t>
            </w:r>
          </w:p>
        </w:tc>
        <w:tc>
          <w:tcPr>
            <w:tcW w:w="1540" w:type="dxa"/>
            <w:vAlign w:val="bottom"/>
            <w:gridSpan w:val="2"/>
            <w:shd w:val="clear" w:color="auto" w:fill="CCEEFF"/>
          </w:tcPr>
          <w:p>
            <w:pPr>
              <w:jc w:val="right"/>
              <w:ind w:right="392"/>
              <w:spacing w:after="0" w:line="200" w:lineRule="exact"/>
              <w:rPr>
                <w:sz w:val="20"/>
                <w:szCs w:val="20"/>
                <w:color w:val="auto"/>
              </w:rPr>
            </w:pPr>
            <w:r>
              <w:rPr>
                <w:rFonts w:ascii="Arial" w:cs="Arial" w:eastAsia="Arial" w:hAnsi="Arial"/>
                <w:sz w:val="18"/>
                <w:szCs w:val="18"/>
                <w:color w:val="auto"/>
                <w:w w:val="88"/>
              </w:rPr>
              <w:t>February 2006</w:t>
            </w:r>
          </w:p>
        </w:tc>
        <w:tc>
          <w:tcPr>
            <w:tcW w:w="500" w:type="dxa"/>
            <w:vAlign w:val="bottom"/>
            <w:shd w:val="clear" w:color="auto" w:fill="CCEEFF"/>
          </w:tcPr>
          <w:p>
            <w:pPr>
              <w:ind w:left="400"/>
              <w:spacing w:after="0" w:line="200" w:lineRule="exact"/>
              <w:rPr>
                <w:sz w:val="20"/>
                <w:szCs w:val="20"/>
                <w:color w:val="auto"/>
              </w:rPr>
            </w:pPr>
            <w:r>
              <w:rPr>
                <w:rFonts w:ascii="Arial" w:cs="Arial" w:eastAsia="Arial" w:hAnsi="Arial"/>
                <w:sz w:val="18"/>
                <w:szCs w:val="18"/>
                <w:color w:val="auto"/>
                <w:w w:val="79"/>
              </w:rPr>
              <w:t>3</w:t>
            </w:r>
          </w:p>
        </w:tc>
        <w:tc>
          <w:tcPr>
            <w:tcW w:w="1600" w:type="dxa"/>
            <w:vAlign w:val="bottom"/>
            <w:gridSpan w:val="2"/>
            <w:shd w:val="clear" w:color="auto" w:fill="CCEEFF"/>
          </w:tcPr>
          <w:p>
            <w:pPr>
              <w:jc w:val="right"/>
              <w:ind w:right="452"/>
              <w:spacing w:after="0" w:line="200" w:lineRule="exact"/>
              <w:rPr>
                <w:sz w:val="20"/>
                <w:szCs w:val="20"/>
                <w:color w:val="auto"/>
              </w:rPr>
            </w:pPr>
            <w:r>
              <w:rPr>
                <w:rFonts w:ascii="Arial" w:cs="Arial" w:eastAsia="Arial" w:hAnsi="Arial"/>
                <w:sz w:val="18"/>
                <w:szCs w:val="18"/>
                <w:color w:val="auto"/>
                <w:w w:val="88"/>
              </w:rPr>
              <w:t>February 2014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4,000</w:t>
            </w:r>
          </w:p>
        </w:tc>
        <w:tc>
          <w:tcPr>
            <w:tcW w:w="13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$21.25</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16</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2007</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9"/>
              </w:rPr>
              <w:t>16</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2,000</w:t>
            </w:r>
          </w:p>
        </w:tc>
        <w:tc>
          <w:tcPr>
            <w:tcW w:w="13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$35.33</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26</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2008</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9"/>
              </w:rPr>
              <w:t>26</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2,000</w:t>
            </w:r>
          </w:p>
        </w:tc>
        <w:tc>
          <w:tcPr>
            <w:tcW w:w="13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$22.26</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25</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2009</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9"/>
              </w:rPr>
              <w:t>25</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4,000</w:t>
            </w:r>
          </w:p>
        </w:tc>
        <w:tc>
          <w:tcPr>
            <w:tcW w:w="13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$24.46</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4</w:t>
            </w:r>
          </w:p>
        </w:tc>
        <w:tc>
          <w:tcPr>
            <w:tcW w:w="15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90"/>
              </w:rPr>
              <w:t>March 2010</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4</w:t>
            </w:r>
          </w:p>
        </w:tc>
        <w:tc>
          <w:tcPr>
            <w:tcW w:w="16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w w:val="90"/>
              </w:rPr>
              <w:t>March 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4,000</w:t>
            </w:r>
          </w:p>
        </w:tc>
        <w:tc>
          <w:tcPr>
            <w:tcW w:w="13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$20.28</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3</w:t>
            </w:r>
          </w:p>
        </w:tc>
        <w:tc>
          <w:tcPr>
            <w:tcW w:w="15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90"/>
              </w:rPr>
              <w:t>March 2011</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w:t>
            </w:r>
          </w:p>
        </w:tc>
        <w:tc>
          <w:tcPr>
            <w:tcW w:w="16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w w:val="90"/>
              </w:rPr>
              <w:t>March 2019</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2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4,000</w:t>
            </w:r>
          </w:p>
        </w:tc>
        <w:tc>
          <w:tcPr>
            <w:tcW w:w="13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$22.30</w:t>
            </w:r>
          </w:p>
        </w:tc>
        <w:tc>
          <w:tcPr>
            <w:tcW w:w="58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w w:val="89"/>
              </w:rPr>
              <w:t>27</w:t>
            </w:r>
          </w:p>
        </w:tc>
        <w:tc>
          <w:tcPr>
            <w:tcW w:w="14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96"/>
              </w:rPr>
              <w:t>April 2012</w:t>
            </w:r>
          </w:p>
        </w:tc>
        <w:tc>
          <w:tcPr>
            <w:tcW w:w="60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w w:val="89"/>
              </w:rPr>
              <w:t>27</w:t>
            </w:r>
          </w:p>
        </w:tc>
        <w:tc>
          <w:tcPr>
            <w:tcW w:w="150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8"/>
                <w:szCs w:val="18"/>
                <w:color w:val="auto"/>
                <w:w w:val="93"/>
              </w:rPr>
              <w:t>April 2020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Prof. Dermot Kelleher</w:t>
            </w:r>
          </w:p>
        </w:tc>
        <w:tc>
          <w:tcPr>
            <w:tcW w:w="1840" w:type="dxa"/>
            <w:vAlign w:val="bottom"/>
            <w:shd w:val="clear" w:color="auto" w:fill="CCEEFF"/>
          </w:tcPr>
          <w:p>
            <w:pPr>
              <w:jc w:val="right"/>
              <w:ind w:right="152"/>
              <w:spacing w:after="0" w:line="200" w:lineRule="exact"/>
              <w:rPr>
                <w:sz w:val="20"/>
                <w:szCs w:val="20"/>
                <w:color w:val="auto"/>
              </w:rPr>
            </w:pPr>
            <w:r>
              <w:rPr>
                <w:rFonts w:ascii="Arial" w:cs="Arial" w:eastAsia="Arial" w:hAnsi="Arial"/>
                <w:sz w:val="18"/>
                <w:szCs w:val="18"/>
                <w:color w:val="auto"/>
              </w:rPr>
              <w:t>6,000</w:t>
            </w:r>
          </w:p>
        </w:tc>
        <w:tc>
          <w:tcPr>
            <w:tcW w:w="1300" w:type="dxa"/>
            <w:vAlign w:val="bottom"/>
            <w:shd w:val="clear" w:color="auto" w:fill="CCEEFF"/>
          </w:tcPr>
          <w:p>
            <w:pPr>
              <w:jc w:val="right"/>
              <w:ind w:right="312"/>
              <w:spacing w:after="0" w:line="200" w:lineRule="exact"/>
              <w:rPr>
                <w:sz w:val="20"/>
                <w:szCs w:val="20"/>
                <w:color w:val="auto"/>
              </w:rPr>
            </w:pPr>
            <w:r>
              <w:rPr>
                <w:rFonts w:ascii="Arial" w:cs="Arial" w:eastAsia="Arial" w:hAnsi="Arial"/>
                <w:sz w:val="18"/>
                <w:szCs w:val="18"/>
                <w:color w:val="auto"/>
              </w:rPr>
              <w:t>$36.04</w:t>
            </w:r>
          </w:p>
        </w:tc>
        <w:tc>
          <w:tcPr>
            <w:tcW w:w="580" w:type="dxa"/>
            <w:vAlign w:val="bottom"/>
            <w:gridSpan w:val="2"/>
            <w:shd w:val="clear" w:color="auto" w:fill="CCEEFF"/>
          </w:tcPr>
          <w:p>
            <w:pPr>
              <w:ind w:left="380"/>
              <w:spacing w:after="0" w:line="200" w:lineRule="exact"/>
              <w:rPr>
                <w:sz w:val="20"/>
                <w:szCs w:val="20"/>
                <w:color w:val="auto"/>
              </w:rPr>
            </w:pPr>
            <w:r>
              <w:rPr>
                <w:rFonts w:ascii="Arial" w:cs="Arial" w:eastAsia="Arial" w:hAnsi="Arial"/>
                <w:sz w:val="18"/>
                <w:szCs w:val="18"/>
                <w:color w:val="auto"/>
                <w:w w:val="89"/>
              </w:rPr>
              <w:t>27</w:t>
            </w:r>
          </w:p>
        </w:tc>
        <w:tc>
          <w:tcPr>
            <w:tcW w:w="1460" w:type="dxa"/>
            <w:vAlign w:val="bottom"/>
            <w:shd w:val="clear" w:color="auto" w:fill="CCEEFF"/>
          </w:tcPr>
          <w:p>
            <w:pPr>
              <w:ind w:left="40"/>
              <w:spacing w:after="0" w:line="200" w:lineRule="exact"/>
              <w:rPr>
                <w:sz w:val="20"/>
                <w:szCs w:val="20"/>
                <w:color w:val="auto"/>
              </w:rPr>
            </w:pPr>
            <w:r>
              <w:rPr>
                <w:rFonts w:ascii="Arial" w:cs="Arial" w:eastAsia="Arial" w:hAnsi="Arial"/>
                <w:sz w:val="18"/>
                <w:szCs w:val="18"/>
                <w:color w:val="auto"/>
              </w:rPr>
              <w:t>May 2008</w:t>
            </w:r>
          </w:p>
        </w:tc>
        <w:tc>
          <w:tcPr>
            <w:tcW w:w="600" w:type="dxa"/>
            <w:vAlign w:val="bottom"/>
            <w:gridSpan w:val="2"/>
            <w:shd w:val="clear" w:color="auto" w:fill="CCEEFF"/>
          </w:tcPr>
          <w:p>
            <w:pPr>
              <w:ind w:left="400"/>
              <w:spacing w:after="0" w:line="200" w:lineRule="exact"/>
              <w:rPr>
                <w:sz w:val="20"/>
                <w:szCs w:val="20"/>
                <w:color w:val="auto"/>
              </w:rPr>
            </w:pPr>
            <w:r>
              <w:rPr>
                <w:rFonts w:ascii="Arial" w:cs="Arial" w:eastAsia="Arial" w:hAnsi="Arial"/>
                <w:sz w:val="18"/>
                <w:szCs w:val="18"/>
                <w:color w:val="auto"/>
                <w:w w:val="89"/>
              </w:rPr>
              <w:t>27</w:t>
            </w:r>
          </w:p>
        </w:tc>
        <w:tc>
          <w:tcPr>
            <w:tcW w:w="15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May 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2,000</w:t>
            </w:r>
          </w:p>
        </w:tc>
        <w:tc>
          <w:tcPr>
            <w:tcW w:w="13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$22.26</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25</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2009</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9"/>
              </w:rPr>
              <w:t>25</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2,000</w:t>
            </w:r>
          </w:p>
        </w:tc>
        <w:tc>
          <w:tcPr>
            <w:tcW w:w="13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$24.46</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4</w:t>
            </w:r>
          </w:p>
        </w:tc>
        <w:tc>
          <w:tcPr>
            <w:tcW w:w="15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90"/>
              </w:rPr>
              <w:t>March 2010</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4</w:t>
            </w:r>
          </w:p>
        </w:tc>
        <w:tc>
          <w:tcPr>
            <w:tcW w:w="16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w w:val="90"/>
              </w:rPr>
              <w:t>March 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2,000</w:t>
            </w:r>
          </w:p>
        </w:tc>
        <w:tc>
          <w:tcPr>
            <w:tcW w:w="13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$20.28</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3</w:t>
            </w:r>
          </w:p>
        </w:tc>
        <w:tc>
          <w:tcPr>
            <w:tcW w:w="15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90"/>
              </w:rPr>
              <w:t>March 2011</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w:t>
            </w:r>
          </w:p>
        </w:tc>
        <w:tc>
          <w:tcPr>
            <w:tcW w:w="16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w w:val="90"/>
              </w:rPr>
              <w:t>March 2019</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2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2,000</w:t>
            </w:r>
          </w:p>
        </w:tc>
        <w:tc>
          <w:tcPr>
            <w:tcW w:w="13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$22.30</w:t>
            </w:r>
          </w:p>
        </w:tc>
        <w:tc>
          <w:tcPr>
            <w:tcW w:w="58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w w:val="89"/>
              </w:rPr>
              <w:t>27</w:t>
            </w:r>
          </w:p>
        </w:tc>
        <w:tc>
          <w:tcPr>
            <w:tcW w:w="14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96"/>
              </w:rPr>
              <w:t>April 2012</w:t>
            </w:r>
          </w:p>
        </w:tc>
        <w:tc>
          <w:tcPr>
            <w:tcW w:w="60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w w:val="89"/>
              </w:rPr>
              <w:t>27</w:t>
            </w:r>
          </w:p>
        </w:tc>
        <w:tc>
          <w:tcPr>
            <w:tcW w:w="150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8"/>
                <w:szCs w:val="18"/>
                <w:color w:val="auto"/>
                <w:w w:val="93"/>
              </w:rPr>
              <w:t>April 2020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Declan McKeon</w:t>
            </w:r>
          </w:p>
        </w:tc>
        <w:tc>
          <w:tcPr>
            <w:tcW w:w="1840" w:type="dxa"/>
            <w:vAlign w:val="bottom"/>
            <w:shd w:val="clear" w:color="auto" w:fill="CCEEFF"/>
          </w:tcPr>
          <w:p>
            <w:pPr>
              <w:jc w:val="right"/>
              <w:ind w:right="152"/>
              <w:spacing w:after="0" w:line="200" w:lineRule="exact"/>
              <w:rPr>
                <w:sz w:val="20"/>
                <w:szCs w:val="20"/>
                <w:color w:val="auto"/>
              </w:rPr>
            </w:pPr>
            <w:r>
              <w:rPr>
                <w:rFonts w:ascii="Arial" w:cs="Arial" w:eastAsia="Arial" w:hAnsi="Arial"/>
                <w:sz w:val="18"/>
                <w:szCs w:val="18"/>
                <w:color w:val="auto"/>
              </w:rPr>
              <w:t>3,000</w:t>
            </w:r>
          </w:p>
        </w:tc>
        <w:tc>
          <w:tcPr>
            <w:tcW w:w="1300" w:type="dxa"/>
            <w:vAlign w:val="bottom"/>
            <w:shd w:val="clear" w:color="auto" w:fill="CCEEFF"/>
          </w:tcPr>
          <w:p>
            <w:pPr>
              <w:jc w:val="right"/>
              <w:ind w:right="312"/>
              <w:spacing w:after="0" w:line="200" w:lineRule="exact"/>
              <w:rPr>
                <w:sz w:val="20"/>
                <w:szCs w:val="20"/>
                <w:color w:val="auto"/>
              </w:rPr>
            </w:pPr>
            <w:r>
              <w:rPr>
                <w:rFonts w:ascii="Arial" w:cs="Arial" w:eastAsia="Arial" w:hAnsi="Arial"/>
                <w:sz w:val="18"/>
                <w:szCs w:val="18"/>
                <w:color w:val="auto"/>
              </w:rPr>
              <w:t>$29.45</w:t>
            </w:r>
          </w:p>
        </w:tc>
        <w:tc>
          <w:tcPr>
            <w:tcW w:w="580" w:type="dxa"/>
            <w:vAlign w:val="bottom"/>
            <w:gridSpan w:val="2"/>
            <w:shd w:val="clear" w:color="auto" w:fill="CCEEFF"/>
          </w:tcPr>
          <w:p>
            <w:pPr>
              <w:ind w:left="380"/>
              <w:spacing w:after="0" w:line="200" w:lineRule="exact"/>
              <w:rPr>
                <w:sz w:val="20"/>
                <w:szCs w:val="20"/>
                <w:color w:val="auto"/>
              </w:rPr>
            </w:pPr>
            <w:r>
              <w:rPr>
                <w:rFonts w:ascii="Arial" w:cs="Arial" w:eastAsia="Arial" w:hAnsi="Arial"/>
                <w:sz w:val="18"/>
                <w:szCs w:val="18"/>
                <w:color w:val="auto"/>
                <w:w w:val="89"/>
              </w:rPr>
              <w:t>29</w:t>
            </w:r>
          </w:p>
        </w:tc>
        <w:tc>
          <w:tcPr>
            <w:tcW w:w="1460" w:type="dxa"/>
            <w:vAlign w:val="bottom"/>
            <w:shd w:val="clear" w:color="auto" w:fill="CCEEFF"/>
          </w:tcPr>
          <w:p>
            <w:pPr>
              <w:jc w:val="right"/>
              <w:ind w:right="572"/>
              <w:spacing w:after="0" w:line="200" w:lineRule="exact"/>
              <w:rPr>
                <w:sz w:val="20"/>
                <w:szCs w:val="20"/>
                <w:color w:val="auto"/>
              </w:rPr>
            </w:pPr>
            <w:r>
              <w:rPr>
                <w:rFonts w:ascii="Arial" w:cs="Arial" w:eastAsia="Arial" w:hAnsi="Arial"/>
                <w:sz w:val="18"/>
                <w:szCs w:val="18"/>
                <w:color w:val="auto"/>
                <w:w w:val="96"/>
              </w:rPr>
              <w:t>April 2010</w:t>
            </w:r>
          </w:p>
        </w:tc>
        <w:tc>
          <w:tcPr>
            <w:tcW w:w="600" w:type="dxa"/>
            <w:vAlign w:val="bottom"/>
            <w:gridSpan w:val="2"/>
            <w:shd w:val="clear" w:color="auto" w:fill="CCEEFF"/>
          </w:tcPr>
          <w:p>
            <w:pPr>
              <w:ind w:left="400"/>
              <w:spacing w:after="0" w:line="200" w:lineRule="exact"/>
              <w:rPr>
                <w:sz w:val="20"/>
                <w:szCs w:val="20"/>
                <w:color w:val="auto"/>
              </w:rPr>
            </w:pPr>
            <w:r>
              <w:rPr>
                <w:rFonts w:ascii="Arial" w:cs="Arial" w:eastAsia="Arial" w:hAnsi="Arial"/>
                <w:sz w:val="18"/>
                <w:szCs w:val="18"/>
                <w:color w:val="auto"/>
                <w:w w:val="89"/>
              </w:rPr>
              <w:t>29</w:t>
            </w:r>
          </w:p>
        </w:tc>
        <w:tc>
          <w:tcPr>
            <w:tcW w:w="1500" w:type="dxa"/>
            <w:vAlign w:val="bottom"/>
            <w:shd w:val="clear" w:color="auto" w:fill="CCEEFF"/>
          </w:tcPr>
          <w:p>
            <w:pPr>
              <w:jc w:val="right"/>
              <w:ind w:right="632"/>
              <w:spacing w:after="0" w:line="200" w:lineRule="exact"/>
              <w:rPr>
                <w:sz w:val="20"/>
                <w:szCs w:val="20"/>
                <w:color w:val="auto"/>
              </w:rPr>
            </w:pPr>
            <w:r>
              <w:rPr>
                <w:rFonts w:ascii="Arial" w:cs="Arial" w:eastAsia="Arial" w:hAnsi="Arial"/>
                <w:sz w:val="18"/>
                <w:szCs w:val="18"/>
                <w:color w:val="auto"/>
                <w:w w:val="93"/>
              </w:rPr>
              <w:t>April 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2,000</w:t>
            </w:r>
          </w:p>
        </w:tc>
        <w:tc>
          <w:tcPr>
            <w:tcW w:w="13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$20.28</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3</w:t>
            </w:r>
          </w:p>
        </w:tc>
        <w:tc>
          <w:tcPr>
            <w:tcW w:w="15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90"/>
              </w:rPr>
              <w:t>March 2011</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w:t>
            </w:r>
          </w:p>
        </w:tc>
        <w:tc>
          <w:tcPr>
            <w:tcW w:w="16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w w:val="90"/>
              </w:rPr>
              <w:t>March 2019</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2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2,000</w:t>
            </w:r>
          </w:p>
        </w:tc>
        <w:tc>
          <w:tcPr>
            <w:tcW w:w="13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$22.30</w:t>
            </w:r>
          </w:p>
        </w:tc>
        <w:tc>
          <w:tcPr>
            <w:tcW w:w="58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w w:val="89"/>
              </w:rPr>
              <w:t>27</w:t>
            </w:r>
          </w:p>
        </w:tc>
        <w:tc>
          <w:tcPr>
            <w:tcW w:w="14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96"/>
              </w:rPr>
              <w:t>April 2012</w:t>
            </w:r>
          </w:p>
        </w:tc>
        <w:tc>
          <w:tcPr>
            <w:tcW w:w="60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w w:val="89"/>
              </w:rPr>
              <w:t>27</w:t>
            </w:r>
          </w:p>
        </w:tc>
        <w:tc>
          <w:tcPr>
            <w:tcW w:w="150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8"/>
                <w:szCs w:val="18"/>
                <w:color w:val="auto"/>
                <w:w w:val="93"/>
              </w:rPr>
              <w:t>April 2020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Cathrin Petty</w:t>
            </w:r>
          </w:p>
        </w:tc>
        <w:tc>
          <w:tcPr>
            <w:tcW w:w="1840" w:type="dxa"/>
            <w:vAlign w:val="bottom"/>
            <w:shd w:val="clear" w:color="auto" w:fill="CCEEFF"/>
          </w:tcPr>
          <w:p>
            <w:pPr>
              <w:jc w:val="right"/>
              <w:ind w:right="152"/>
              <w:spacing w:after="0" w:line="200" w:lineRule="exact"/>
              <w:rPr>
                <w:sz w:val="20"/>
                <w:szCs w:val="20"/>
                <w:color w:val="auto"/>
              </w:rPr>
            </w:pPr>
            <w:r>
              <w:rPr>
                <w:rFonts w:ascii="Arial" w:cs="Arial" w:eastAsia="Arial" w:hAnsi="Arial"/>
                <w:sz w:val="18"/>
                <w:szCs w:val="18"/>
                <w:color w:val="auto"/>
              </w:rPr>
              <w:t>3,000</w:t>
            </w:r>
          </w:p>
        </w:tc>
        <w:tc>
          <w:tcPr>
            <w:tcW w:w="1300" w:type="dxa"/>
            <w:vAlign w:val="bottom"/>
            <w:shd w:val="clear" w:color="auto" w:fill="CCEEFF"/>
          </w:tcPr>
          <w:p>
            <w:pPr>
              <w:jc w:val="right"/>
              <w:ind w:right="312"/>
              <w:spacing w:after="0" w:line="200" w:lineRule="exact"/>
              <w:rPr>
                <w:sz w:val="20"/>
                <w:szCs w:val="20"/>
                <w:color w:val="auto"/>
              </w:rPr>
            </w:pPr>
            <w:r>
              <w:rPr>
                <w:rFonts w:ascii="Arial" w:cs="Arial" w:eastAsia="Arial" w:hAnsi="Arial"/>
                <w:sz w:val="18"/>
                <w:szCs w:val="18"/>
                <w:color w:val="auto"/>
              </w:rPr>
              <w:t>$19.45</w:t>
            </w:r>
          </w:p>
        </w:tc>
        <w:tc>
          <w:tcPr>
            <w:tcW w:w="580" w:type="dxa"/>
            <w:vAlign w:val="bottom"/>
            <w:gridSpan w:val="2"/>
            <w:shd w:val="clear" w:color="auto" w:fill="CCEEFF"/>
          </w:tcPr>
          <w:p>
            <w:pPr>
              <w:ind w:left="380"/>
              <w:spacing w:after="0" w:line="200" w:lineRule="exact"/>
              <w:rPr>
                <w:sz w:val="20"/>
                <w:szCs w:val="20"/>
                <w:color w:val="auto"/>
              </w:rPr>
            </w:pPr>
            <w:r>
              <w:rPr>
                <w:rFonts w:ascii="Arial" w:cs="Arial" w:eastAsia="Arial" w:hAnsi="Arial"/>
                <w:sz w:val="18"/>
                <w:szCs w:val="18"/>
                <w:color w:val="auto"/>
                <w:w w:val="89"/>
              </w:rPr>
              <w:t>26</w:t>
            </w:r>
          </w:p>
        </w:tc>
        <w:tc>
          <w:tcPr>
            <w:tcW w:w="1460" w:type="dxa"/>
            <w:vAlign w:val="bottom"/>
            <w:shd w:val="clear" w:color="auto" w:fill="CCEEFF"/>
          </w:tcPr>
          <w:p>
            <w:pPr>
              <w:ind w:left="40"/>
              <w:spacing w:after="0" w:line="200" w:lineRule="exact"/>
              <w:rPr>
                <w:sz w:val="20"/>
                <w:szCs w:val="20"/>
                <w:color w:val="auto"/>
              </w:rPr>
            </w:pPr>
            <w:r>
              <w:rPr>
                <w:rFonts w:ascii="Arial" w:cs="Arial" w:eastAsia="Arial" w:hAnsi="Arial"/>
                <w:sz w:val="18"/>
                <w:szCs w:val="18"/>
                <w:color w:val="auto"/>
              </w:rPr>
              <w:t>October 2010</w:t>
            </w:r>
          </w:p>
        </w:tc>
        <w:tc>
          <w:tcPr>
            <w:tcW w:w="600" w:type="dxa"/>
            <w:vAlign w:val="bottom"/>
            <w:gridSpan w:val="2"/>
            <w:shd w:val="clear" w:color="auto" w:fill="CCEEFF"/>
          </w:tcPr>
          <w:p>
            <w:pPr>
              <w:ind w:left="400"/>
              <w:spacing w:after="0" w:line="200" w:lineRule="exact"/>
              <w:rPr>
                <w:sz w:val="20"/>
                <w:szCs w:val="20"/>
                <w:color w:val="auto"/>
              </w:rPr>
            </w:pPr>
            <w:r>
              <w:rPr>
                <w:rFonts w:ascii="Arial" w:cs="Arial" w:eastAsia="Arial" w:hAnsi="Arial"/>
                <w:sz w:val="18"/>
                <w:szCs w:val="18"/>
                <w:color w:val="auto"/>
                <w:w w:val="89"/>
              </w:rPr>
              <w:t>26</w:t>
            </w:r>
          </w:p>
        </w:tc>
        <w:tc>
          <w:tcPr>
            <w:tcW w:w="15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October 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2,000</w:t>
            </w:r>
          </w:p>
        </w:tc>
        <w:tc>
          <w:tcPr>
            <w:tcW w:w="13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$20.28</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3</w:t>
            </w:r>
          </w:p>
        </w:tc>
        <w:tc>
          <w:tcPr>
            <w:tcW w:w="15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90"/>
              </w:rPr>
              <w:t>March 2011</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w:t>
            </w:r>
          </w:p>
        </w:tc>
        <w:tc>
          <w:tcPr>
            <w:tcW w:w="16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w w:val="90"/>
              </w:rPr>
              <w:t>March 2019</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2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2,000</w:t>
            </w:r>
          </w:p>
        </w:tc>
        <w:tc>
          <w:tcPr>
            <w:tcW w:w="13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$22.30</w:t>
            </w:r>
          </w:p>
        </w:tc>
        <w:tc>
          <w:tcPr>
            <w:tcW w:w="58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w w:val="89"/>
              </w:rPr>
              <w:t>27</w:t>
            </w:r>
          </w:p>
        </w:tc>
        <w:tc>
          <w:tcPr>
            <w:tcW w:w="14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96"/>
              </w:rPr>
              <w:t>April 2012</w:t>
            </w:r>
          </w:p>
        </w:tc>
        <w:tc>
          <w:tcPr>
            <w:tcW w:w="60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w w:val="89"/>
              </w:rPr>
              <w:t>27</w:t>
            </w:r>
          </w:p>
        </w:tc>
        <w:tc>
          <w:tcPr>
            <w:tcW w:w="150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8"/>
                <w:szCs w:val="18"/>
                <w:color w:val="auto"/>
                <w:w w:val="93"/>
              </w:rPr>
              <w:t>April 2020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Diarmaid Cunningham</w:t>
            </w:r>
          </w:p>
        </w:tc>
        <w:tc>
          <w:tcPr>
            <w:tcW w:w="1840" w:type="dxa"/>
            <w:vAlign w:val="bottom"/>
            <w:shd w:val="clear" w:color="auto" w:fill="CCEEFF"/>
          </w:tcPr>
          <w:p>
            <w:pPr>
              <w:jc w:val="right"/>
              <w:ind w:right="152"/>
              <w:spacing w:after="0" w:line="200" w:lineRule="exact"/>
              <w:rPr>
                <w:sz w:val="20"/>
                <w:szCs w:val="20"/>
                <w:color w:val="auto"/>
              </w:rPr>
            </w:pPr>
            <w:r>
              <w:rPr>
                <w:rFonts w:ascii="Arial" w:cs="Arial" w:eastAsia="Arial" w:hAnsi="Arial"/>
                <w:sz w:val="18"/>
                <w:szCs w:val="18"/>
                <w:color w:val="auto"/>
              </w:rPr>
              <w:t>2,000</w:t>
            </w:r>
          </w:p>
        </w:tc>
        <w:tc>
          <w:tcPr>
            <w:tcW w:w="1300" w:type="dxa"/>
            <w:vAlign w:val="bottom"/>
            <w:shd w:val="clear" w:color="auto" w:fill="CCEEFF"/>
          </w:tcPr>
          <w:p>
            <w:pPr>
              <w:jc w:val="right"/>
              <w:ind w:right="312"/>
              <w:spacing w:after="0" w:line="200" w:lineRule="exact"/>
              <w:rPr>
                <w:sz w:val="20"/>
                <w:szCs w:val="20"/>
                <w:color w:val="auto"/>
              </w:rPr>
            </w:pPr>
            <w:r>
              <w:rPr>
                <w:rFonts w:ascii="Arial" w:cs="Arial" w:eastAsia="Arial" w:hAnsi="Arial"/>
                <w:sz w:val="18"/>
                <w:szCs w:val="18"/>
                <w:color w:val="auto"/>
              </w:rPr>
              <w:t>$24.46</w:t>
            </w:r>
          </w:p>
        </w:tc>
        <w:tc>
          <w:tcPr>
            <w:tcW w:w="500" w:type="dxa"/>
            <w:vAlign w:val="bottom"/>
            <w:shd w:val="clear" w:color="auto" w:fill="CCEEFF"/>
          </w:tcPr>
          <w:p>
            <w:pPr>
              <w:ind w:left="380"/>
              <w:spacing w:after="0" w:line="200" w:lineRule="exact"/>
              <w:rPr>
                <w:sz w:val="20"/>
                <w:szCs w:val="20"/>
                <w:color w:val="auto"/>
              </w:rPr>
            </w:pPr>
            <w:r>
              <w:rPr>
                <w:rFonts w:ascii="Arial" w:cs="Arial" w:eastAsia="Arial" w:hAnsi="Arial"/>
                <w:sz w:val="18"/>
                <w:szCs w:val="18"/>
                <w:color w:val="auto"/>
                <w:w w:val="99"/>
              </w:rPr>
              <w:t>4</w:t>
            </w:r>
          </w:p>
        </w:tc>
        <w:tc>
          <w:tcPr>
            <w:tcW w:w="1540" w:type="dxa"/>
            <w:vAlign w:val="bottom"/>
            <w:gridSpan w:val="2"/>
            <w:shd w:val="clear" w:color="auto" w:fill="CCEEFF"/>
          </w:tcPr>
          <w:p>
            <w:pPr>
              <w:jc w:val="right"/>
              <w:ind w:right="572"/>
              <w:spacing w:after="0" w:line="200" w:lineRule="exact"/>
              <w:rPr>
                <w:sz w:val="20"/>
                <w:szCs w:val="20"/>
                <w:color w:val="auto"/>
              </w:rPr>
            </w:pPr>
            <w:r>
              <w:rPr>
                <w:rFonts w:ascii="Arial" w:cs="Arial" w:eastAsia="Arial" w:hAnsi="Arial"/>
                <w:sz w:val="18"/>
                <w:szCs w:val="18"/>
                <w:color w:val="auto"/>
                <w:w w:val="90"/>
              </w:rPr>
              <w:t>March 2010</w:t>
            </w:r>
          </w:p>
        </w:tc>
        <w:tc>
          <w:tcPr>
            <w:tcW w:w="500" w:type="dxa"/>
            <w:vAlign w:val="bottom"/>
            <w:shd w:val="clear" w:color="auto" w:fill="CCEEFF"/>
          </w:tcPr>
          <w:p>
            <w:pPr>
              <w:ind w:left="400"/>
              <w:spacing w:after="0" w:line="200" w:lineRule="exact"/>
              <w:rPr>
                <w:sz w:val="20"/>
                <w:szCs w:val="20"/>
                <w:color w:val="auto"/>
              </w:rPr>
            </w:pPr>
            <w:r>
              <w:rPr>
                <w:rFonts w:ascii="Arial" w:cs="Arial" w:eastAsia="Arial" w:hAnsi="Arial"/>
                <w:sz w:val="18"/>
                <w:szCs w:val="18"/>
                <w:color w:val="auto"/>
                <w:w w:val="79"/>
              </w:rPr>
              <w:t>4</w:t>
            </w:r>
          </w:p>
        </w:tc>
        <w:tc>
          <w:tcPr>
            <w:tcW w:w="1600" w:type="dxa"/>
            <w:vAlign w:val="bottom"/>
            <w:gridSpan w:val="2"/>
            <w:shd w:val="clear" w:color="auto" w:fill="CCEEFF"/>
          </w:tcPr>
          <w:p>
            <w:pPr>
              <w:jc w:val="right"/>
              <w:ind w:right="632"/>
              <w:spacing w:after="0" w:line="200" w:lineRule="exact"/>
              <w:rPr>
                <w:sz w:val="20"/>
                <w:szCs w:val="20"/>
                <w:color w:val="auto"/>
              </w:rPr>
            </w:pPr>
            <w:r>
              <w:rPr>
                <w:rFonts w:ascii="Arial" w:cs="Arial" w:eastAsia="Arial" w:hAnsi="Arial"/>
                <w:sz w:val="18"/>
                <w:szCs w:val="18"/>
                <w:color w:val="auto"/>
                <w:w w:val="90"/>
              </w:rPr>
              <w:t>March 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5,000</w:t>
            </w:r>
          </w:p>
        </w:tc>
        <w:tc>
          <w:tcPr>
            <w:tcW w:w="13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$20.28</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3</w:t>
            </w:r>
          </w:p>
        </w:tc>
        <w:tc>
          <w:tcPr>
            <w:tcW w:w="15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90"/>
              </w:rPr>
              <w:t>March 2011</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w:t>
            </w:r>
          </w:p>
        </w:tc>
        <w:tc>
          <w:tcPr>
            <w:tcW w:w="16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w w:val="90"/>
              </w:rPr>
              <w:t>March 2019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12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15,000</w:t>
            </w:r>
          </w:p>
        </w:tc>
        <w:tc>
          <w:tcPr>
            <w:tcW w:w="13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$20.59</w:t>
            </w:r>
          </w:p>
        </w:tc>
        <w:tc>
          <w:tcPr>
            <w:tcW w:w="58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w w:val="89"/>
              </w:rPr>
              <w:t>22</w:t>
            </w:r>
          </w:p>
        </w:tc>
        <w:tc>
          <w:tcPr>
            <w:tcW w:w="1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February 2012</w:t>
            </w:r>
          </w:p>
        </w:tc>
        <w:tc>
          <w:tcPr>
            <w:tcW w:w="60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w w:val="89"/>
              </w:rPr>
              <w:t>22</w:t>
            </w:r>
          </w:p>
        </w:tc>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2020</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Restricted Share Units (“RSU’s”) have been awarded to the Directors, Executive Officer and Company Secretary: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340" w:type="dxa"/>
            <w:vAlign w:val="bottom"/>
          </w:tcPr>
          <w:p>
            <w:pPr>
              <w:jc w:val="right"/>
              <w:ind w:right="912"/>
              <w:spacing w:after="0"/>
              <w:rPr>
                <w:sz w:val="20"/>
                <w:szCs w:val="20"/>
                <w:color w:val="auto"/>
              </w:rPr>
            </w:pPr>
            <w:r>
              <w:rPr>
                <w:rFonts w:ascii="Arial" w:cs="Arial" w:eastAsia="Arial" w:hAnsi="Arial"/>
                <w:sz w:val="18"/>
                <w:szCs w:val="18"/>
                <w:b w:val="1"/>
                <w:bCs w:val="1"/>
                <w:color w:val="auto"/>
              </w:rPr>
              <w:t>RSU’s</w:t>
            </w:r>
          </w:p>
        </w:tc>
        <w:tc>
          <w:tcPr>
            <w:tcW w:w="2580" w:type="dxa"/>
            <w:vAlign w:val="bottom"/>
            <w:gridSpan w:val="2"/>
          </w:tcPr>
          <w:p>
            <w:pPr>
              <w:ind w:left="920"/>
              <w:spacing w:after="0"/>
              <w:rPr>
                <w:sz w:val="20"/>
                <w:szCs w:val="20"/>
                <w:color w:val="auto"/>
              </w:rPr>
            </w:pPr>
            <w:r>
              <w:rPr>
                <w:rFonts w:ascii="Arial" w:cs="Arial" w:eastAsia="Arial" w:hAnsi="Arial"/>
                <w:sz w:val="18"/>
                <w:szCs w:val="18"/>
                <w:b w:val="1"/>
                <w:bCs w:val="1"/>
                <w:color w:val="auto"/>
              </w:rPr>
              <w:t>Award date</w:t>
            </w:r>
          </w:p>
        </w:tc>
        <w:tc>
          <w:tcPr>
            <w:tcW w:w="2100" w:type="dxa"/>
            <w:vAlign w:val="bottom"/>
            <w:gridSpan w:val="2"/>
          </w:tcPr>
          <w:p>
            <w:pPr>
              <w:ind w:left="400"/>
              <w:spacing w:after="0"/>
              <w:rPr>
                <w:sz w:val="20"/>
                <w:szCs w:val="20"/>
                <w:color w:val="auto"/>
              </w:rPr>
            </w:pPr>
            <w:r>
              <w:rPr>
                <w:rFonts w:ascii="Arial" w:cs="Arial" w:eastAsia="Arial" w:hAnsi="Arial"/>
                <w:sz w:val="18"/>
                <w:szCs w:val="18"/>
                <w:b w:val="1"/>
                <w:bCs w:val="1"/>
                <w:color w:val="auto"/>
              </w:rPr>
              <w:t>Vesting date</w:t>
            </w:r>
          </w:p>
        </w:tc>
      </w:tr>
      <w:tr>
        <w:trPr>
          <w:trHeight w:val="201"/>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Ciaran Murray</w:t>
            </w:r>
          </w:p>
        </w:tc>
        <w:tc>
          <w:tcPr>
            <w:tcW w:w="3340" w:type="dxa"/>
            <w:vAlign w:val="bottom"/>
            <w:shd w:val="clear" w:color="auto" w:fill="CCEEFF"/>
          </w:tcPr>
          <w:p>
            <w:pPr>
              <w:jc w:val="right"/>
              <w:ind w:right="912"/>
              <w:spacing w:after="0" w:line="201" w:lineRule="exact"/>
              <w:rPr>
                <w:sz w:val="20"/>
                <w:szCs w:val="20"/>
                <w:color w:val="auto"/>
              </w:rPr>
            </w:pPr>
            <w:r>
              <w:rPr>
                <w:rFonts w:ascii="Arial" w:cs="Arial" w:eastAsia="Arial" w:hAnsi="Arial"/>
                <w:sz w:val="18"/>
                <w:szCs w:val="18"/>
                <w:color w:val="auto"/>
              </w:rPr>
              <w:t>50,000</w:t>
            </w:r>
          </w:p>
        </w:tc>
        <w:tc>
          <w:tcPr>
            <w:tcW w:w="1120" w:type="dxa"/>
            <w:vAlign w:val="bottom"/>
            <w:shd w:val="clear" w:color="auto" w:fill="CCEEFF"/>
          </w:tcPr>
          <w:p>
            <w:pPr>
              <w:ind w:left="920"/>
              <w:spacing w:after="0" w:line="201" w:lineRule="exact"/>
              <w:rPr>
                <w:sz w:val="20"/>
                <w:szCs w:val="20"/>
                <w:color w:val="auto"/>
              </w:rPr>
            </w:pPr>
            <w:r>
              <w:rPr>
                <w:rFonts w:ascii="Arial" w:cs="Arial" w:eastAsia="Arial" w:hAnsi="Arial"/>
                <w:sz w:val="18"/>
                <w:szCs w:val="18"/>
                <w:color w:val="auto"/>
                <w:w w:val="89"/>
              </w:rPr>
              <w:t>10</w:t>
            </w:r>
          </w:p>
        </w:tc>
        <w:tc>
          <w:tcPr>
            <w:tcW w:w="14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February 2011</w:t>
            </w:r>
          </w:p>
        </w:tc>
        <w:tc>
          <w:tcPr>
            <w:tcW w:w="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89"/>
              </w:rPr>
              <w:t>10</w:t>
            </w:r>
          </w:p>
        </w:tc>
        <w:tc>
          <w:tcPr>
            <w:tcW w:w="15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February 2016</w:t>
            </w:r>
          </w:p>
        </w:tc>
      </w:tr>
      <w:tr>
        <w:trPr>
          <w:trHeight w:val="212"/>
        </w:trPr>
        <w:tc>
          <w:tcPr>
            <w:tcW w:w="3400" w:type="dxa"/>
            <w:vAlign w:val="bottom"/>
            <w:shd w:val="clear" w:color="auto" w:fill="CCEEFF"/>
          </w:tcPr>
          <w:p>
            <w:pPr>
              <w:spacing w:after="0"/>
              <w:rPr>
                <w:sz w:val="18"/>
                <w:szCs w:val="18"/>
                <w:color w:val="auto"/>
              </w:rPr>
            </w:pPr>
          </w:p>
        </w:tc>
        <w:tc>
          <w:tcPr>
            <w:tcW w:w="334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rPr>
              <w:t>100,000</w:t>
            </w:r>
          </w:p>
        </w:tc>
        <w:tc>
          <w:tcPr>
            <w:tcW w:w="25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 October 2011</w:t>
            </w:r>
          </w:p>
        </w:tc>
        <w:tc>
          <w:tcPr>
            <w:tcW w:w="2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 October 2014</w:t>
            </w:r>
          </w:p>
        </w:tc>
      </w:tr>
      <w:tr>
        <w:trPr>
          <w:trHeight w:val="231"/>
        </w:trPr>
        <w:tc>
          <w:tcPr>
            <w:tcW w:w="3400" w:type="dxa"/>
            <w:vAlign w:val="bottom"/>
            <w:tcBorders>
              <w:bottom w:val="single" w:sz="8" w:color="auto"/>
            </w:tcBorders>
            <w:shd w:val="clear" w:color="auto" w:fill="CCEEFF"/>
          </w:tcPr>
          <w:p>
            <w:pPr>
              <w:spacing w:after="0"/>
              <w:rPr>
                <w:sz w:val="20"/>
                <w:szCs w:val="20"/>
                <w:color w:val="auto"/>
              </w:rPr>
            </w:pPr>
          </w:p>
        </w:tc>
        <w:tc>
          <w:tcPr>
            <w:tcW w:w="3340" w:type="dxa"/>
            <w:vAlign w:val="bottom"/>
            <w:tcBorders>
              <w:bottom w:val="single" w:sz="8" w:color="auto"/>
            </w:tcBorders>
            <w:shd w:val="clear" w:color="auto" w:fill="CCEEFF"/>
          </w:tcPr>
          <w:p>
            <w:pPr>
              <w:jc w:val="right"/>
              <w:ind w:right="912"/>
              <w:spacing w:after="0"/>
              <w:rPr>
                <w:sz w:val="20"/>
                <w:szCs w:val="20"/>
                <w:color w:val="auto"/>
              </w:rPr>
            </w:pPr>
            <w:r>
              <w:rPr>
                <w:rFonts w:ascii="Arial" w:cs="Arial" w:eastAsia="Arial" w:hAnsi="Arial"/>
                <w:sz w:val="18"/>
                <w:szCs w:val="18"/>
                <w:color w:val="auto"/>
              </w:rPr>
              <w:t>50,000</w:t>
            </w:r>
          </w:p>
        </w:tc>
        <w:tc>
          <w:tcPr>
            <w:tcW w:w="112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9"/>
              </w:rPr>
              <w:t>27</w:t>
            </w:r>
          </w:p>
        </w:tc>
        <w:tc>
          <w:tcPr>
            <w:tcW w:w="1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April 2012</w:t>
            </w:r>
          </w:p>
        </w:tc>
        <w:tc>
          <w:tcPr>
            <w:tcW w:w="6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9"/>
              </w:rPr>
              <w:t>27</w:t>
            </w:r>
          </w:p>
        </w:tc>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2013</w:t>
            </w:r>
          </w:p>
        </w:tc>
      </w:tr>
      <w:tr>
        <w:trPr>
          <w:trHeight w:val="423"/>
        </w:trPr>
        <w:tc>
          <w:tcPr>
            <w:tcW w:w="3400" w:type="dxa"/>
            <w:vAlign w:val="bottom"/>
          </w:tcPr>
          <w:p>
            <w:pPr>
              <w:spacing w:after="0"/>
              <w:rPr>
                <w:sz w:val="20"/>
                <w:szCs w:val="20"/>
                <w:color w:val="auto"/>
              </w:rPr>
            </w:pPr>
            <w:r>
              <w:rPr>
                <w:rFonts w:ascii="Arial" w:cs="Arial" w:eastAsia="Arial" w:hAnsi="Arial"/>
                <w:sz w:val="18"/>
                <w:szCs w:val="18"/>
                <w:color w:val="auto"/>
              </w:rPr>
              <w:t>Brendan Brennan</w:t>
            </w:r>
          </w:p>
        </w:tc>
        <w:tc>
          <w:tcPr>
            <w:tcW w:w="3340" w:type="dxa"/>
            <w:vAlign w:val="bottom"/>
          </w:tcPr>
          <w:p>
            <w:pPr>
              <w:jc w:val="right"/>
              <w:ind w:right="912"/>
              <w:spacing w:after="0"/>
              <w:rPr>
                <w:sz w:val="20"/>
                <w:szCs w:val="20"/>
                <w:color w:val="auto"/>
              </w:rPr>
            </w:pPr>
            <w:r>
              <w:rPr>
                <w:rFonts w:ascii="Arial" w:cs="Arial" w:eastAsia="Arial" w:hAnsi="Arial"/>
                <w:sz w:val="18"/>
                <w:szCs w:val="18"/>
                <w:color w:val="auto"/>
              </w:rPr>
              <w:t>20,000</w:t>
            </w:r>
          </w:p>
        </w:tc>
        <w:tc>
          <w:tcPr>
            <w:tcW w:w="1120" w:type="dxa"/>
            <w:vAlign w:val="bottom"/>
          </w:tcPr>
          <w:p>
            <w:pPr>
              <w:ind w:left="920"/>
              <w:spacing w:after="0"/>
              <w:rPr>
                <w:sz w:val="20"/>
                <w:szCs w:val="20"/>
                <w:color w:val="auto"/>
              </w:rPr>
            </w:pPr>
            <w:r>
              <w:rPr>
                <w:rFonts w:ascii="Arial" w:cs="Arial" w:eastAsia="Arial" w:hAnsi="Arial"/>
                <w:sz w:val="18"/>
                <w:szCs w:val="18"/>
                <w:color w:val="auto"/>
                <w:w w:val="89"/>
              </w:rPr>
              <w:t>21</w:t>
            </w:r>
          </w:p>
        </w:tc>
        <w:tc>
          <w:tcPr>
            <w:tcW w:w="1460" w:type="dxa"/>
            <w:vAlign w:val="bottom"/>
          </w:tcPr>
          <w:p>
            <w:pPr>
              <w:ind w:left="40"/>
              <w:spacing w:after="0"/>
              <w:rPr>
                <w:sz w:val="20"/>
                <w:szCs w:val="20"/>
                <w:color w:val="auto"/>
              </w:rPr>
            </w:pPr>
            <w:r>
              <w:rPr>
                <w:rFonts w:ascii="Arial" w:cs="Arial" w:eastAsia="Arial" w:hAnsi="Arial"/>
                <w:sz w:val="18"/>
                <w:szCs w:val="18"/>
                <w:color w:val="auto"/>
              </w:rPr>
              <w:t>February 2012</w:t>
            </w:r>
          </w:p>
        </w:tc>
        <w:tc>
          <w:tcPr>
            <w:tcW w:w="600" w:type="dxa"/>
            <w:vAlign w:val="bottom"/>
          </w:tcPr>
          <w:p>
            <w:pPr>
              <w:ind w:left="400"/>
              <w:spacing w:after="0"/>
              <w:rPr>
                <w:sz w:val="20"/>
                <w:szCs w:val="20"/>
                <w:color w:val="auto"/>
              </w:rPr>
            </w:pPr>
            <w:r>
              <w:rPr>
                <w:rFonts w:ascii="Arial" w:cs="Arial" w:eastAsia="Arial" w:hAnsi="Arial"/>
                <w:sz w:val="18"/>
                <w:szCs w:val="18"/>
                <w:color w:val="auto"/>
                <w:w w:val="89"/>
              </w:rPr>
              <w:t>21</w:t>
            </w:r>
          </w:p>
        </w:tc>
        <w:tc>
          <w:tcPr>
            <w:tcW w:w="1500" w:type="dxa"/>
            <w:vAlign w:val="bottom"/>
          </w:tcPr>
          <w:p>
            <w:pPr>
              <w:ind w:left="20"/>
              <w:spacing w:after="0"/>
              <w:rPr>
                <w:sz w:val="20"/>
                <w:szCs w:val="20"/>
                <w:color w:val="auto"/>
              </w:rPr>
            </w:pPr>
            <w:r>
              <w:rPr>
                <w:rFonts w:ascii="Arial" w:cs="Arial" w:eastAsia="Arial" w:hAnsi="Arial"/>
                <w:sz w:val="18"/>
                <w:szCs w:val="18"/>
                <w:color w:val="auto"/>
              </w:rPr>
              <w:t>February 2015</w:t>
            </w:r>
          </w:p>
        </w:tc>
      </w:tr>
      <w:tr>
        <w:trPr>
          <w:trHeight w:val="220"/>
        </w:trPr>
        <w:tc>
          <w:tcPr>
            <w:tcW w:w="340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r>
      <w:tr>
        <w:trPr>
          <w:trHeight w:val="42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Diarmaid Cunningham</w:t>
            </w:r>
          </w:p>
        </w:tc>
        <w:tc>
          <w:tcPr>
            <w:tcW w:w="334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rPr>
              <w:t>10,000</w:t>
            </w:r>
          </w:p>
        </w:tc>
        <w:tc>
          <w:tcPr>
            <w:tcW w:w="112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9"/>
              </w:rPr>
              <w:t>21</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2012</w:t>
            </w:r>
          </w:p>
        </w:tc>
        <w:tc>
          <w:tcPr>
            <w:tcW w:w="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21</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2015</w:t>
            </w:r>
          </w:p>
        </w:tc>
      </w:tr>
      <w:tr>
        <w:trPr>
          <w:trHeight w:val="253"/>
        </w:trPr>
        <w:tc>
          <w:tcPr>
            <w:tcW w:w="3400" w:type="dxa"/>
            <w:vAlign w:val="bottom"/>
            <w:tcBorders>
              <w:bottom w:val="single" w:sz="8" w:color="auto"/>
            </w:tcBorders>
            <w:shd w:val="clear" w:color="auto" w:fill="CCEEFF"/>
          </w:tcPr>
          <w:p>
            <w:pPr>
              <w:spacing w:after="0"/>
              <w:rPr>
                <w:sz w:val="22"/>
                <w:szCs w:val="22"/>
                <w:color w:val="auto"/>
              </w:rPr>
            </w:pPr>
          </w:p>
        </w:tc>
        <w:tc>
          <w:tcPr>
            <w:tcW w:w="3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spacing w:after="0"/>
              <w:rPr>
                <w:sz w:val="22"/>
                <w:szCs w:val="22"/>
                <w:color w:val="auto"/>
              </w:rPr>
            </w:pPr>
          </w:p>
        </w:tc>
      </w:tr>
      <w:tr>
        <w:trPr>
          <w:trHeight w:val="589"/>
        </w:trPr>
        <w:tc>
          <w:tcPr>
            <w:tcW w:w="3400" w:type="dxa"/>
            <w:vAlign w:val="bottom"/>
          </w:tcPr>
          <w:p>
            <w:pPr>
              <w:spacing w:after="0"/>
              <w:rPr>
                <w:sz w:val="24"/>
                <w:szCs w:val="24"/>
                <w:color w:val="auto"/>
              </w:rPr>
            </w:pPr>
          </w:p>
        </w:tc>
        <w:tc>
          <w:tcPr>
            <w:tcW w:w="3340" w:type="dxa"/>
            <w:vAlign w:val="bottom"/>
          </w:tcPr>
          <w:p>
            <w:pPr>
              <w:jc w:val="right"/>
              <w:ind w:right="852"/>
              <w:spacing w:after="0"/>
              <w:rPr>
                <w:sz w:val="20"/>
                <w:szCs w:val="20"/>
                <w:color w:val="auto"/>
              </w:rPr>
            </w:pPr>
            <w:r>
              <w:rPr>
                <w:rFonts w:ascii="Arial" w:cs="Arial" w:eastAsia="Arial" w:hAnsi="Arial"/>
                <w:sz w:val="18"/>
                <w:szCs w:val="18"/>
                <w:color w:val="auto"/>
              </w:rPr>
              <w:t>49</w:t>
            </w: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7"/>
        </w:trPr>
        <w:tc>
          <w:tcPr>
            <w:tcW w:w="3400" w:type="dxa"/>
            <w:vAlign w:val="bottom"/>
            <w:tcBorders>
              <w:bottom w:val="single" w:sz="8" w:color="808080"/>
            </w:tcBorders>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Payroll and related benefits </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and Company share and share option transactions</w:t>
      </w:r>
    </w:p>
    <w:p>
      <w:pPr>
        <w:spacing w:after="0" w:line="244" w:lineRule="exact"/>
        <w:rPr>
          <w:sz w:val="20"/>
          <w:szCs w:val="20"/>
          <w:color w:val="auto"/>
        </w:rPr>
      </w:pPr>
    </w:p>
    <w:p>
      <w:pPr>
        <w:ind w:right="360"/>
        <w:spacing w:after="0" w:line="265" w:lineRule="auto"/>
        <w:rPr>
          <w:sz w:val="20"/>
          <w:szCs w:val="20"/>
          <w:color w:val="auto"/>
        </w:rPr>
      </w:pPr>
      <w:r>
        <w:rPr>
          <w:rFonts w:ascii="Arial" w:cs="Arial" w:eastAsia="Arial" w:hAnsi="Arial"/>
          <w:sz w:val="18"/>
          <w:szCs w:val="18"/>
          <w:color w:val="auto"/>
        </w:rPr>
        <w:t>Details of transactions entered into by the Directors, Executive Officer and Company Secretary in shares and shares options of the Company during the year ended 31 December 2012 were are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Share options exercised</w:t>
            </w:r>
          </w:p>
        </w:tc>
        <w:tc>
          <w:tcPr>
            <w:tcW w:w="3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6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Market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b w:val="1"/>
                <w:bCs w:val="1"/>
                <w:color w:val="auto"/>
              </w:rPr>
              <w:t>Average</w:t>
            </w:r>
          </w:p>
        </w:tc>
        <w:tc>
          <w:tcPr>
            <w:tcW w:w="1260" w:type="dxa"/>
            <w:vAlign w:val="bottom"/>
          </w:tcPr>
          <w:p>
            <w:pPr>
              <w:jc w:val="right"/>
              <w:ind w:right="12"/>
              <w:spacing w:after="0"/>
              <w:rPr>
                <w:sz w:val="20"/>
                <w:szCs w:val="20"/>
                <w:color w:val="auto"/>
              </w:rPr>
            </w:pPr>
            <w:r>
              <w:rPr>
                <w:rFonts w:ascii="Arial" w:cs="Arial" w:eastAsia="Arial" w:hAnsi="Arial"/>
                <w:sz w:val="18"/>
                <w:szCs w:val="18"/>
                <w:b w:val="1"/>
                <w:bCs w:val="1"/>
                <w:color w:val="auto"/>
              </w:rPr>
              <w:t>price on date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520" w:type="dxa"/>
            <w:vAlign w:val="bottom"/>
          </w:tcPr>
          <w:p>
            <w:pPr>
              <w:jc w:val="right"/>
              <w:ind w:right="292"/>
              <w:spacing w:after="0"/>
              <w:rPr>
                <w:sz w:val="20"/>
                <w:szCs w:val="20"/>
                <w:color w:val="auto"/>
              </w:rPr>
            </w:pPr>
            <w:r>
              <w:rPr>
                <w:rFonts w:ascii="Arial" w:cs="Arial" w:eastAsia="Arial" w:hAnsi="Arial"/>
                <w:sz w:val="18"/>
                <w:szCs w:val="18"/>
                <w:b w:val="1"/>
                <w:bCs w:val="1"/>
                <w:color w:val="auto"/>
              </w:rPr>
              <w:t>Number of</w:t>
            </w:r>
          </w:p>
        </w:tc>
        <w:tc>
          <w:tcPr>
            <w:tcW w:w="1180" w:type="dxa"/>
            <w:vAlign w:val="bottom"/>
          </w:tcPr>
          <w:p>
            <w:pPr>
              <w:jc w:val="right"/>
              <w:ind w:right="92"/>
              <w:spacing w:after="0"/>
              <w:rPr>
                <w:sz w:val="20"/>
                <w:szCs w:val="20"/>
                <w:color w:val="auto"/>
              </w:rPr>
            </w:pPr>
            <w:r>
              <w:rPr>
                <w:rFonts w:ascii="Arial" w:cs="Arial" w:eastAsia="Arial" w:hAnsi="Arial"/>
                <w:sz w:val="18"/>
                <w:szCs w:val="18"/>
                <w:b w:val="1"/>
                <w:bCs w:val="1"/>
                <w:color w:val="auto"/>
              </w:rPr>
              <w:t>exercise</w:t>
            </w:r>
          </w:p>
        </w:tc>
        <w:tc>
          <w:tcPr>
            <w:tcW w:w="1260" w:type="dxa"/>
            <w:vAlign w:val="bottom"/>
          </w:tcPr>
          <w:p>
            <w:pPr>
              <w:jc w:val="right"/>
              <w:ind w:right="12"/>
              <w:spacing w:after="0"/>
              <w:rPr>
                <w:sz w:val="20"/>
                <w:szCs w:val="20"/>
                <w:color w:val="auto"/>
              </w:rPr>
            </w:pPr>
            <w:r>
              <w:rPr>
                <w:rFonts w:ascii="Arial" w:cs="Arial" w:eastAsia="Arial" w:hAnsi="Arial"/>
                <w:sz w:val="18"/>
                <w:szCs w:val="18"/>
                <w:b w:val="1"/>
                <w:bCs w:val="1"/>
                <w:color w:val="auto"/>
              </w:rPr>
              <w:t>of</w:t>
            </w:r>
          </w:p>
        </w:tc>
        <w:tc>
          <w:tcPr>
            <w:tcW w:w="0" w:type="dxa"/>
            <w:vAlign w:val="bottom"/>
          </w:tcPr>
          <w:p>
            <w:pPr>
              <w:spacing w:after="0"/>
              <w:rPr>
                <w:sz w:val="1"/>
                <w:szCs w:val="1"/>
                <w:color w:val="auto"/>
              </w:rPr>
            </w:pPr>
          </w:p>
        </w:tc>
      </w:tr>
      <w:tr>
        <w:trPr>
          <w:trHeight w:val="229"/>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520" w:type="dxa"/>
            <w:vAlign w:val="bottom"/>
          </w:tcPr>
          <w:p>
            <w:pPr>
              <w:jc w:val="right"/>
              <w:ind w:right="292"/>
              <w:spacing w:after="0"/>
              <w:rPr>
                <w:sz w:val="20"/>
                <w:szCs w:val="20"/>
                <w:color w:val="auto"/>
              </w:rPr>
            </w:pPr>
            <w:r>
              <w:rPr>
                <w:rFonts w:ascii="Arial" w:cs="Arial" w:eastAsia="Arial" w:hAnsi="Arial"/>
                <w:sz w:val="18"/>
                <w:szCs w:val="18"/>
                <w:b w:val="1"/>
                <w:bCs w:val="1"/>
                <w:color w:val="auto"/>
              </w:rPr>
              <w:t>share options</w:t>
            </w:r>
          </w:p>
        </w:tc>
        <w:tc>
          <w:tcPr>
            <w:tcW w:w="1180" w:type="dxa"/>
            <w:vAlign w:val="bottom"/>
          </w:tcPr>
          <w:p>
            <w:pPr>
              <w:jc w:val="right"/>
              <w:ind w:right="92"/>
              <w:spacing w:after="0"/>
              <w:rPr>
                <w:sz w:val="20"/>
                <w:szCs w:val="20"/>
                <w:color w:val="auto"/>
              </w:rPr>
            </w:pPr>
            <w:r>
              <w:rPr>
                <w:rFonts w:ascii="Arial" w:cs="Arial" w:eastAsia="Arial" w:hAnsi="Arial"/>
                <w:sz w:val="18"/>
                <w:szCs w:val="18"/>
                <w:b w:val="1"/>
                <w:bCs w:val="1"/>
                <w:color w:val="auto"/>
              </w:rPr>
              <w:t>price</w:t>
            </w:r>
          </w:p>
        </w:tc>
        <w:tc>
          <w:tcPr>
            <w:tcW w:w="1260" w:type="dxa"/>
            <w:vAlign w:val="bottom"/>
          </w:tcPr>
          <w:p>
            <w:pPr>
              <w:jc w:val="right"/>
              <w:ind w:right="12"/>
              <w:spacing w:after="0"/>
              <w:rPr>
                <w:sz w:val="20"/>
                <w:szCs w:val="20"/>
                <w:color w:val="auto"/>
              </w:rPr>
            </w:pPr>
            <w:r>
              <w:rPr>
                <w:rFonts w:ascii="Arial" w:cs="Arial" w:eastAsia="Arial" w:hAnsi="Arial"/>
                <w:sz w:val="18"/>
                <w:szCs w:val="18"/>
                <w:b w:val="1"/>
                <w:bCs w:val="1"/>
                <w:color w:val="auto"/>
              </w:rPr>
              <w:t>exercise</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Tom Lynch*</w:t>
            </w:r>
          </w:p>
        </w:tc>
        <w:tc>
          <w:tcPr>
            <w:tcW w:w="35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2,400</w:t>
            </w: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$8.60</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Brendan Brennan**</w:t>
            </w:r>
          </w:p>
        </w:tc>
        <w:tc>
          <w:tcPr>
            <w:tcW w:w="35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4,260</w:t>
            </w: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$21.32</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Bruce Given**</w:t>
            </w:r>
          </w:p>
        </w:tc>
        <w:tc>
          <w:tcPr>
            <w:tcW w:w="35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4,000</w:t>
            </w: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$8.60</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Ronan Lambe**</w:t>
            </w:r>
          </w:p>
        </w:tc>
        <w:tc>
          <w:tcPr>
            <w:tcW w:w="35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4,000</w:t>
            </w: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$8.60</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40" w:type="dxa"/>
            <w:vAlign w:val="bottom"/>
          </w:tcPr>
          <w:p>
            <w:pPr>
              <w:spacing w:after="0" w:line="193" w:lineRule="exact"/>
              <w:rPr>
                <w:sz w:val="20"/>
                <w:szCs w:val="20"/>
                <w:color w:val="auto"/>
              </w:rPr>
            </w:pPr>
            <w:r>
              <w:rPr>
                <w:rFonts w:ascii="Arial" w:cs="Arial" w:eastAsia="Arial" w:hAnsi="Arial"/>
                <w:sz w:val="18"/>
                <w:szCs w:val="18"/>
                <w:color w:val="auto"/>
              </w:rPr>
              <w:t>*  Options exercised and shares held.</w:t>
            </w:r>
          </w:p>
        </w:tc>
        <w:tc>
          <w:tcPr>
            <w:tcW w:w="3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 Options exercised and resulting shares sold.</w:t>
            </w:r>
          </w:p>
        </w:tc>
        <w:tc>
          <w:tcPr>
            <w:tcW w:w="3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The market price of the Company’s ordinary shares during the year ended 31 December 2012 moved in the range of $16.73 to $28.93 (year ended 31 December 2011: in the range of $15.03 to $26.22). The closing share price at 31 December 2012 was $27.76 (at 31 December 2011: $17.11).</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Payroll and related benefits </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compensation table - Year ended 31 December 2012</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140" w:type="dxa"/>
            <w:vAlign w:val="bottom"/>
            <w:tcBorders>
              <w:top w:val="single" w:sz="8" w:color="auto"/>
              <w:left w:val="single" w:sz="8" w:color="auto"/>
              <w:right w:val="single" w:sz="8" w:color="auto"/>
            </w:tcBorders>
          </w:tcPr>
          <w:p>
            <w:pPr>
              <w:spacing w:after="0"/>
              <w:rPr>
                <w:sz w:val="18"/>
                <w:szCs w:val="18"/>
                <w:color w:val="auto"/>
              </w:rPr>
            </w:pPr>
          </w:p>
        </w:tc>
        <w:tc>
          <w:tcPr>
            <w:tcW w:w="60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Company</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Performance</w:t>
            </w:r>
          </w:p>
        </w:tc>
        <w:tc>
          <w:tcPr>
            <w:tcW w:w="126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Share-</w:t>
            </w:r>
          </w:p>
        </w:tc>
        <w:tc>
          <w:tcPr>
            <w:tcW w:w="1040" w:type="dxa"/>
            <w:vAlign w:val="bottom"/>
            <w:tcBorders>
              <w:top w:val="single" w:sz="8" w:color="auto"/>
              <w:right w:val="single" w:sz="8" w:color="auto"/>
            </w:tcBorders>
          </w:tcPr>
          <w:p>
            <w:pPr>
              <w:spacing w:after="0"/>
              <w:rPr>
                <w:sz w:val="18"/>
                <w:szCs w:val="18"/>
                <w:color w:val="auto"/>
              </w:rPr>
            </w:pPr>
          </w:p>
        </w:tc>
        <w:tc>
          <w:tcPr>
            <w:tcW w:w="12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pension</w:t>
            </w: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related</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All other</w:t>
            </w:r>
          </w:p>
        </w:tc>
        <w:tc>
          <w:tcPr>
            <w:tcW w:w="8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based</w:t>
            </w:r>
          </w:p>
        </w:tc>
        <w:tc>
          <w:tcPr>
            <w:tcW w:w="10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Directors’</w:t>
            </w:r>
          </w:p>
        </w:tc>
        <w:tc>
          <w:tcPr>
            <w:tcW w:w="12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1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b w:val="1"/>
                <w:bCs w:val="1"/>
                <w:color w:val="auto"/>
              </w:rPr>
              <w:t>Name</w:t>
            </w:r>
          </w:p>
        </w:tc>
        <w:tc>
          <w:tcPr>
            <w:tcW w:w="6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Year</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Salary</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w w:val="98"/>
              </w:rPr>
              <w:t>contribution*</w:t>
            </w:r>
          </w:p>
        </w:tc>
        <w:tc>
          <w:tcPr>
            <w:tcW w:w="1260" w:type="dxa"/>
            <w:vAlign w:val="bottom"/>
          </w:tcPr>
          <w:p>
            <w:pPr>
              <w:jc w:val="right"/>
              <w:ind w:right="12"/>
              <w:spacing w:after="0"/>
              <w:rPr>
                <w:sz w:val="20"/>
                <w:szCs w:val="20"/>
                <w:color w:val="auto"/>
              </w:rPr>
            </w:pPr>
            <w:r>
              <w:rPr>
                <w:rFonts w:ascii="Arial" w:cs="Arial" w:eastAsia="Arial" w:hAnsi="Arial"/>
                <w:sz w:val="18"/>
                <w:szCs w:val="18"/>
                <w:b w:val="1"/>
                <w:bCs w:val="1"/>
                <w:color w:val="auto"/>
                <w:w w:val="93"/>
              </w:rPr>
              <w:t>compensation</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1"/>
              </w:rPr>
              <w:t>compensation</w:t>
            </w:r>
          </w:p>
        </w:tc>
        <w:tc>
          <w:tcPr>
            <w:tcW w:w="8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Subtotal</w:t>
            </w:r>
          </w:p>
        </w:tc>
        <w:tc>
          <w:tcPr>
            <w:tcW w:w="9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Subtotal</w:t>
            </w: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w w:val="99"/>
              </w:rPr>
              <w:t>payments</w:t>
            </w:r>
          </w:p>
        </w:tc>
        <w:tc>
          <w:tcPr>
            <w:tcW w:w="10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Fees</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compensation</w:t>
            </w:r>
          </w:p>
        </w:tc>
        <w:tc>
          <w:tcPr>
            <w:tcW w:w="0" w:type="dxa"/>
            <w:vAlign w:val="bottom"/>
          </w:tcPr>
          <w:p>
            <w:pPr>
              <w:spacing w:after="0"/>
              <w:rPr>
                <w:sz w:val="1"/>
                <w:szCs w:val="1"/>
                <w:color w:val="auto"/>
              </w:rPr>
            </w:pPr>
          </w:p>
        </w:tc>
      </w:tr>
      <w:tr>
        <w:trPr>
          <w:trHeight w:val="432"/>
        </w:trPr>
        <w:tc>
          <w:tcPr>
            <w:tcW w:w="114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140" w:type="dxa"/>
            <w:vAlign w:val="bottom"/>
            <w:tcBorders>
              <w:left w:val="single" w:sz="8" w:color="auto"/>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€’000</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12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8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9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$’000</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$’000</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122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2"/>
        </w:trPr>
        <w:tc>
          <w:tcPr>
            <w:tcW w:w="11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5"/>
              </w:rPr>
              <w:t>Bruce Given**</w:t>
            </w:r>
          </w:p>
        </w:tc>
        <w:tc>
          <w:tcPr>
            <w:tcW w:w="60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2012</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w:t>
            </w:r>
          </w:p>
        </w:tc>
        <w:tc>
          <w:tcPr>
            <w:tcW w:w="104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317</w:t>
            </w:r>
          </w:p>
        </w:tc>
        <w:tc>
          <w:tcPr>
            <w:tcW w:w="122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2"/>
        </w:trPr>
        <w:tc>
          <w:tcPr>
            <w:tcW w:w="1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Peter Gray***</w:t>
            </w:r>
          </w:p>
        </w:tc>
        <w:tc>
          <w:tcPr>
            <w:tcW w:w="6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2012</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402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194</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27</w:t>
            </w:r>
          </w:p>
        </w:tc>
        <w:tc>
          <w:tcPr>
            <w:tcW w:w="8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673</w:t>
            </w:r>
          </w:p>
        </w:tc>
        <w:tc>
          <w:tcPr>
            <w:tcW w:w="9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color w:val="auto"/>
              </w:rPr>
              <w:t>862</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651</w:t>
            </w:r>
          </w:p>
        </w:tc>
        <w:tc>
          <w:tcPr>
            <w:tcW w:w="10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2"/>
        </w:trPr>
        <w:tc>
          <w:tcPr>
            <w:tcW w:w="11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4"/>
              </w:rPr>
              <w:t>Ciaran Murray</w:t>
            </w:r>
          </w:p>
        </w:tc>
        <w:tc>
          <w:tcPr>
            <w:tcW w:w="60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2012</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606</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863</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4,230****</w:t>
            </w:r>
          </w:p>
        </w:tc>
        <w:tc>
          <w:tcPr>
            <w:tcW w:w="126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88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5,727</w:t>
            </w:r>
          </w:p>
        </w:tc>
        <w:tc>
          <w:tcPr>
            <w:tcW w:w="900" w:type="dxa"/>
            <w:vAlign w:val="bottom"/>
            <w:tcBorders>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7,374</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2,085</w:t>
            </w:r>
          </w:p>
        </w:tc>
        <w:tc>
          <w:tcPr>
            <w:tcW w:w="104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9,459</w:t>
            </w:r>
          </w:p>
        </w:tc>
        <w:tc>
          <w:tcPr>
            <w:tcW w:w="0" w:type="dxa"/>
            <w:vAlign w:val="bottom"/>
          </w:tcPr>
          <w:p>
            <w:pPr>
              <w:spacing w:after="0"/>
              <w:rPr>
                <w:sz w:val="1"/>
                <w:szCs w:val="1"/>
                <w:color w:val="auto"/>
              </w:rPr>
            </w:pPr>
          </w:p>
        </w:tc>
      </w:tr>
      <w:tr>
        <w:trPr>
          <w:trHeight w:val="212"/>
        </w:trPr>
        <w:tc>
          <w:tcPr>
            <w:tcW w:w="1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John Climax</w:t>
            </w:r>
          </w:p>
        </w:tc>
        <w:tc>
          <w:tcPr>
            <w:tcW w:w="6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2012</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14</w:t>
            </w:r>
          </w:p>
        </w:tc>
        <w:tc>
          <w:tcPr>
            <w:tcW w:w="10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52</w:t>
            </w:r>
          </w:p>
        </w:tc>
        <w:tc>
          <w:tcPr>
            <w:tcW w:w="12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2"/>
        </w:trPr>
        <w:tc>
          <w:tcPr>
            <w:tcW w:w="11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5"/>
              </w:rPr>
              <w:t>Ronan Lambe</w:t>
            </w:r>
          </w:p>
        </w:tc>
        <w:tc>
          <w:tcPr>
            <w:tcW w:w="60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2012</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c>
          <w:tcPr>
            <w:tcW w:w="104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22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2"/>
        </w:trPr>
        <w:tc>
          <w:tcPr>
            <w:tcW w:w="1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Thomas Lynch</w:t>
            </w:r>
          </w:p>
        </w:tc>
        <w:tc>
          <w:tcPr>
            <w:tcW w:w="6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2012</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17</w:t>
            </w:r>
          </w:p>
        </w:tc>
        <w:tc>
          <w:tcPr>
            <w:tcW w:w="10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78</w:t>
            </w:r>
          </w:p>
        </w:tc>
        <w:tc>
          <w:tcPr>
            <w:tcW w:w="12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0"/>
        </w:trPr>
        <w:tc>
          <w:tcPr>
            <w:tcW w:w="1140" w:type="dxa"/>
            <w:vAlign w:val="bottom"/>
            <w:tcBorders>
              <w:left w:val="single" w:sz="8" w:color="auto"/>
              <w:right w:val="single" w:sz="8" w:color="auto"/>
            </w:tcBorders>
            <w:shd w:val="clear" w:color="auto" w:fill="CCEEFF"/>
          </w:tcPr>
          <w:p>
            <w:pPr>
              <w:ind w:left="20"/>
              <w:spacing w:after="0" w:line="200" w:lineRule="exact"/>
              <w:rPr>
                <w:sz w:val="20"/>
                <w:szCs w:val="20"/>
                <w:color w:val="auto"/>
              </w:rPr>
            </w:pPr>
            <w:r>
              <w:rPr>
                <w:rFonts w:ascii="Arial" w:cs="Arial" w:eastAsia="Arial" w:hAnsi="Arial"/>
                <w:sz w:val="18"/>
                <w:szCs w:val="18"/>
                <w:color w:val="auto"/>
              </w:rPr>
              <w:t>Dermot</w:t>
            </w:r>
          </w:p>
        </w:tc>
        <w:tc>
          <w:tcPr>
            <w:tcW w:w="600" w:type="dxa"/>
            <w:vAlign w:val="bottom"/>
            <w:tcBorders>
              <w:right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6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Kelleher</w:t>
            </w:r>
          </w:p>
        </w:tc>
        <w:tc>
          <w:tcPr>
            <w:tcW w:w="60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2012</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w:t>
            </w:r>
          </w:p>
        </w:tc>
        <w:tc>
          <w:tcPr>
            <w:tcW w:w="104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22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0"/>
        </w:trPr>
        <w:tc>
          <w:tcPr>
            <w:tcW w:w="1140" w:type="dxa"/>
            <w:vAlign w:val="bottom"/>
            <w:tcBorders>
              <w:left w:val="single" w:sz="8" w:color="auto"/>
              <w:right w:val="single" w:sz="8" w:color="auto"/>
            </w:tcBorders>
          </w:tcPr>
          <w:p>
            <w:pPr>
              <w:ind w:left="20"/>
              <w:spacing w:after="0" w:line="200" w:lineRule="exact"/>
              <w:rPr>
                <w:sz w:val="20"/>
                <w:szCs w:val="20"/>
                <w:color w:val="auto"/>
              </w:rPr>
            </w:pPr>
            <w:r>
              <w:rPr>
                <w:rFonts w:ascii="Arial" w:cs="Arial" w:eastAsia="Arial" w:hAnsi="Arial"/>
                <w:sz w:val="18"/>
                <w:szCs w:val="18"/>
                <w:color w:val="auto"/>
              </w:rPr>
              <w:t>Declan</w:t>
            </w:r>
          </w:p>
        </w:tc>
        <w:tc>
          <w:tcPr>
            <w:tcW w:w="600" w:type="dxa"/>
            <w:vAlign w:val="bottom"/>
            <w:tcBorders>
              <w:right w:val="single" w:sz="8" w:color="auto"/>
            </w:tcBorders>
          </w:tcPr>
          <w:p>
            <w:pPr>
              <w:spacing w:after="0"/>
              <w:rPr>
                <w:sz w:val="17"/>
                <w:szCs w:val="17"/>
                <w:color w:val="auto"/>
              </w:rPr>
            </w:pPr>
          </w:p>
        </w:tc>
        <w:tc>
          <w:tcPr>
            <w:tcW w:w="86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122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w:t>
            </w:r>
          </w:p>
        </w:tc>
        <w:tc>
          <w:tcPr>
            <w:tcW w:w="126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1260" w:type="dxa"/>
            <w:vAlign w:val="bottom"/>
            <w:tcBorders>
              <w:right w:val="single" w:sz="8" w:color="auto"/>
            </w:tcBorders>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auto"/>
            </w:tcBorders>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McKeon</w:t>
            </w:r>
          </w:p>
        </w:tc>
        <w:tc>
          <w:tcPr>
            <w:tcW w:w="6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2012</w:t>
            </w:r>
          </w:p>
        </w:tc>
        <w:tc>
          <w:tcPr>
            <w:tcW w:w="86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260" w:type="dxa"/>
            <w:vAlign w:val="bottom"/>
            <w:tcBorders>
              <w:right w:val="single" w:sz="8" w:color="auto"/>
            </w:tcBorders>
            <w:vMerge w:val="continue"/>
          </w:tcPr>
          <w:p>
            <w:pPr>
              <w:spacing w:after="0"/>
              <w:rPr>
                <w:sz w:val="19"/>
                <w:szCs w:val="19"/>
                <w:color w:val="auto"/>
              </w:rPr>
            </w:pPr>
          </w:p>
        </w:tc>
        <w:tc>
          <w:tcPr>
            <w:tcW w:w="880" w:type="dxa"/>
            <w:vAlign w:val="bottom"/>
            <w:tcBorders>
              <w:right w:val="single" w:sz="8" w:color="auto"/>
            </w:tcBorders>
            <w:vMerge w:val="continue"/>
          </w:tcPr>
          <w:p>
            <w:pPr>
              <w:spacing w:after="0"/>
              <w:rPr>
                <w:sz w:val="19"/>
                <w:szCs w:val="19"/>
                <w:color w:val="auto"/>
              </w:rPr>
            </w:pPr>
          </w:p>
        </w:tc>
        <w:tc>
          <w:tcPr>
            <w:tcW w:w="900" w:type="dxa"/>
            <w:vAlign w:val="bottom"/>
            <w:tcBorders>
              <w:right w:val="single" w:sz="8" w:color="auto"/>
            </w:tcBorders>
            <w:vMerge w:val="continue"/>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17</w:t>
            </w:r>
          </w:p>
        </w:tc>
        <w:tc>
          <w:tcPr>
            <w:tcW w:w="10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73</w:t>
            </w:r>
          </w:p>
        </w:tc>
        <w:tc>
          <w:tcPr>
            <w:tcW w:w="12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9"/>
        </w:trPr>
        <w:tc>
          <w:tcPr>
            <w:tcW w:w="11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Cathrin Petty</w:t>
            </w:r>
          </w:p>
        </w:tc>
        <w:tc>
          <w:tcPr>
            <w:tcW w:w="6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2012</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16</w:t>
            </w:r>
          </w:p>
        </w:tc>
        <w:tc>
          <w:tcPr>
            <w:tcW w:w="104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22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23"/>
        </w:trPr>
        <w:tc>
          <w:tcPr>
            <w:tcW w:w="1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2012</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1,008</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913</w:t>
            </w: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4,424</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55</w:t>
            </w:r>
          </w:p>
        </w:tc>
        <w:tc>
          <w:tcPr>
            <w:tcW w:w="8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6,400</w:t>
            </w:r>
          </w:p>
        </w:tc>
        <w:tc>
          <w:tcPr>
            <w:tcW w:w="9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8,236</w:t>
            </w: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2,869</w:t>
            </w:r>
          </w:p>
        </w:tc>
        <w:tc>
          <w:tcPr>
            <w:tcW w:w="10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697</w:t>
            </w:r>
          </w:p>
        </w:tc>
        <w:tc>
          <w:tcPr>
            <w:tcW w:w="12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11,802</w:t>
            </w:r>
          </w:p>
        </w:tc>
        <w:tc>
          <w:tcPr>
            <w:tcW w:w="0" w:type="dxa"/>
            <w:vAlign w:val="bottom"/>
          </w:tcPr>
          <w:p>
            <w:pPr>
              <w:spacing w:after="0"/>
              <w:rPr>
                <w:sz w:val="1"/>
                <w:szCs w:val="1"/>
                <w:color w:val="auto"/>
              </w:rPr>
            </w:pPr>
          </w:p>
        </w:tc>
      </w:tr>
      <w:tr>
        <w:trPr>
          <w:trHeight w:val="213"/>
        </w:trPr>
        <w:tc>
          <w:tcPr>
            <w:tcW w:w="1140" w:type="dxa"/>
            <w:vAlign w:val="bottom"/>
            <w:tcBorders>
              <w:left w:val="single" w:sz="8" w:color="auto"/>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140" w:right="2480" w:firstLine="87"/>
        <w:spacing w:after="0" w:line="252" w:lineRule="auto"/>
        <w:tabs>
          <w:tab w:leader="none" w:pos="4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pension contributions above represent contributions paid by the Company to a defined contribution pension scheme. ** Retired as Chairman on 31 December 2012.</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Retired 19 July 2012.</w:t>
      </w:r>
    </w:p>
    <w:p>
      <w:pPr>
        <w:spacing w:after="0" w:line="5" w:lineRule="exact"/>
        <w:rPr>
          <w:sz w:val="20"/>
          <w:szCs w:val="20"/>
          <w:color w:val="auto"/>
        </w:rPr>
      </w:pPr>
    </w:p>
    <w:p>
      <w:pPr>
        <w:ind w:right="580" w:firstLine="6"/>
        <w:spacing w:after="0" w:line="251" w:lineRule="auto"/>
        <w:tabs>
          <w:tab w:leader="none" w:pos="3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€4.2 million ($5.5 million) payable up to December 31, 2015 in cash or ordinary shares. The timing and form of the bonus is at the discretion of the Compensation and Organization Committee.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Payroll and related benefits </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compensation table - Year ended 31 December 2011</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160" w:type="dxa"/>
            <w:vAlign w:val="bottom"/>
            <w:tcBorders>
              <w:top w:val="single" w:sz="8" w:color="auto"/>
              <w:left w:val="single" w:sz="8" w:color="auto"/>
              <w:right w:val="single" w:sz="8" w:color="auto"/>
            </w:tcBorders>
          </w:tcPr>
          <w:p>
            <w:pPr>
              <w:spacing w:after="0"/>
              <w:rPr>
                <w:sz w:val="18"/>
                <w:szCs w:val="18"/>
                <w:color w:val="auto"/>
              </w:rPr>
            </w:pPr>
          </w:p>
        </w:tc>
        <w:tc>
          <w:tcPr>
            <w:tcW w:w="58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Company</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Performance</w:t>
            </w:r>
          </w:p>
        </w:tc>
        <w:tc>
          <w:tcPr>
            <w:tcW w:w="126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Share-</w:t>
            </w:r>
          </w:p>
        </w:tc>
        <w:tc>
          <w:tcPr>
            <w:tcW w:w="1040" w:type="dxa"/>
            <w:vAlign w:val="bottom"/>
            <w:tcBorders>
              <w:top w:val="single" w:sz="8" w:color="auto"/>
              <w:right w:val="single" w:sz="8" w:color="auto"/>
            </w:tcBorders>
          </w:tcPr>
          <w:p>
            <w:pPr>
              <w:spacing w:after="0"/>
              <w:rPr>
                <w:sz w:val="18"/>
                <w:szCs w:val="18"/>
                <w:color w:val="auto"/>
              </w:rPr>
            </w:pPr>
          </w:p>
        </w:tc>
        <w:tc>
          <w:tcPr>
            <w:tcW w:w="12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pension</w:t>
            </w: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related</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All other</w:t>
            </w:r>
          </w:p>
        </w:tc>
        <w:tc>
          <w:tcPr>
            <w:tcW w:w="8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based</w:t>
            </w:r>
          </w:p>
        </w:tc>
        <w:tc>
          <w:tcPr>
            <w:tcW w:w="10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Directors’</w:t>
            </w:r>
          </w:p>
        </w:tc>
        <w:tc>
          <w:tcPr>
            <w:tcW w:w="12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16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b w:val="1"/>
                <w:bCs w:val="1"/>
                <w:color w:val="auto"/>
              </w:rPr>
              <w:t>Name</w:t>
            </w:r>
          </w:p>
        </w:tc>
        <w:tc>
          <w:tcPr>
            <w:tcW w:w="5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Year</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Salary</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w w:val="98"/>
              </w:rPr>
              <w:t>contribution*</w:t>
            </w:r>
          </w:p>
        </w:tc>
        <w:tc>
          <w:tcPr>
            <w:tcW w:w="1260" w:type="dxa"/>
            <w:vAlign w:val="bottom"/>
          </w:tcPr>
          <w:p>
            <w:pPr>
              <w:jc w:val="right"/>
              <w:ind w:right="12"/>
              <w:spacing w:after="0"/>
              <w:rPr>
                <w:sz w:val="20"/>
                <w:szCs w:val="20"/>
                <w:color w:val="auto"/>
              </w:rPr>
            </w:pPr>
            <w:r>
              <w:rPr>
                <w:rFonts w:ascii="Arial" w:cs="Arial" w:eastAsia="Arial" w:hAnsi="Arial"/>
                <w:sz w:val="18"/>
                <w:szCs w:val="18"/>
                <w:b w:val="1"/>
                <w:bCs w:val="1"/>
                <w:color w:val="auto"/>
                <w:w w:val="93"/>
              </w:rPr>
              <w:t>compensation</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1"/>
              </w:rPr>
              <w:t>compensation</w:t>
            </w:r>
          </w:p>
        </w:tc>
        <w:tc>
          <w:tcPr>
            <w:tcW w:w="8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Subtotal</w:t>
            </w:r>
          </w:p>
        </w:tc>
        <w:tc>
          <w:tcPr>
            <w:tcW w:w="9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Subtotal</w:t>
            </w: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w w:val="99"/>
              </w:rPr>
              <w:t>payments</w:t>
            </w:r>
          </w:p>
        </w:tc>
        <w:tc>
          <w:tcPr>
            <w:tcW w:w="10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Fees</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compensation</w:t>
            </w:r>
          </w:p>
        </w:tc>
        <w:tc>
          <w:tcPr>
            <w:tcW w:w="0" w:type="dxa"/>
            <w:vAlign w:val="bottom"/>
          </w:tcPr>
          <w:p>
            <w:pPr>
              <w:spacing w:after="0"/>
              <w:rPr>
                <w:sz w:val="1"/>
                <w:szCs w:val="1"/>
                <w:color w:val="auto"/>
              </w:rPr>
            </w:pPr>
          </w:p>
        </w:tc>
      </w:tr>
      <w:tr>
        <w:trPr>
          <w:trHeight w:val="432"/>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16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€’000</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12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8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9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$’000</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$’000</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122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2"/>
        </w:trPr>
        <w:tc>
          <w:tcPr>
            <w:tcW w:w="11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Bruce Given</w:t>
            </w:r>
          </w:p>
        </w:tc>
        <w:tc>
          <w:tcPr>
            <w:tcW w:w="58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2011</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w:t>
            </w:r>
          </w:p>
        </w:tc>
        <w:tc>
          <w:tcPr>
            <w:tcW w:w="104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317</w:t>
            </w:r>
          </w:p>
        </w:tc>
        <w:tc>
          <w:tcPr>
            <w:tcW w:w="122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2"/>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Peter Gray</w:t>
            </w:r>
          </w:p>
        </w:tc>
        <w:tc>
          <w:tcPr>
            <w:tcW w:w="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2011</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533</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187</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37</w:t>
            </w:r>
          </w:p>
        </w:tc>
        <w:tc>
          <w:tcPr>
            <w:tcW w:w="8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814</w:t>
            </w:r>
          </w:p>
        </w:tc>
        <w:tc>
          <w:tcPr>
            <w:tcW w:w="9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color w:val="auto"/>
              </w:rPr>
              <w:t>1,139</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741</w:t>
            </w:r>
          </w:p>
        </w:tc>
        <w:tc>
          <w:tcPr>
            <w:tcW w:w="10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00"/>
        </w:trPr>
        <w:tc>
          <w:tcPr>
            <w:tcW w:w="1160" w:type="dxa"/>
            <w:vAlign w:val="bottom"/>
            <w:tcBorders>
              <w:left w:val="single" w:sz="8" w:color="auto"/>
              <w:right w:val="single" w:sz="8" w:color="auto"/>
            </w:tcBorders>
            <w:shd w:val="clear" w:color="auto" w:fill="CCEEFF"/>
          </w:tcPr>
          <w:p>
            <w:pPr>
              <w:ind w:left="20"/>
              <w:spacing w:after="0" w:line="200" w:lineRule="exact"/>
              <w:rPr>
                <w:sz w:val="20"/>
                <w:szCs w:val="20"/>
                <w:color w:val="auto"/>
              </w:rPr>
            </w:pPr>
            <w:r>
              <w:rPr>
                <w:rFonts w:ascii="Arial" w:cs="Arial" w:eastAsia="Arial" w:hAnsi="Arial"/>
                <w:sz w:val="18"/>
                <w:szCs w:val="18"/>
                <w:color w:val="auto"/>
              </w:rPr>
              <w:t>Ciaran</w:t>
            </w:r>
          </w:p>
        </w:tc>
        <w:tc>
          <w:tcPr>
            <w:tcW w:w="580" w:type="dxa"/>
            <w:vAlign w:val="bottom"/>
            <w:tcBorders>
              <w:right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6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Murray**</w:t>
            </w:r>
          </w:p>
        </w:tc>
        <w:tc>
          <w:tcPr>
            <w:tcW w:w="58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2011</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26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88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233</w:t>
            </w:r>
          </w:p>
        </w:tc>
        <w:tc>
          <w:tcPr>
            <w:tcW w:w="900" w:type="dxa"/>
            <w:vAlign w:val="bottom"/>
            <w:tcBorders>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321</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324</w:t>
            </w:r>
          </w:p>
        </w:tc>
        <w:tc>
          <w:tcPr>
            <w:tcW w:w="104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2"/>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John Climax</w:t>
            </w:r>
          </w:p>
        </w:tc>
        <w:tc>
          <w:tcPr>
            <w:tcW w:w="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2011</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12</w:t>
            </w:r>
          </w:p>
        </w:tc>
        <w:tc>
          <w:tcPr>
            <w:tcW w:w="10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48</w:t>
            </w:r>
          </w:p>
        </w:tc>
        <w:tc>
          <w:tcPr>
            <w:tcW w:w="12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2"/>
        </w:trPr>
        <w:tc>
          <w:tcPr>
            <w:tcW w:w="11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Ronan Lambe</w:t>
            </w:r>
          </w:p>
        </w:tc>
        <w:tc>
          <w:tcPr>
            <w:tcW w:w="58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2011</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w:t>
            </w:r>
          </w:p>
        </w:tc>
        <w:tc>
          <w:tcPr>
            <w:tcW w:w="104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22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2"/>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3"/>
              </w:rPr>
              <w:t>Thomas Lynch</w:t>
            </w:r>
          </w:p>
        </w:tc>
        <w:tc>
          <w:tcPr>
            <w:tcW w:w="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2011</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19</w:t>
            </w:r>
          </w:p>
        </w:tc>
        <w:tc>
          <w:tcPr>
            <w:tcW w:w="10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71</w:t>
            </w:r>
          </w:p>
        </w:tc>
        <w:tc>
          <w:tcPr>
            <w:tcW w:w="12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0"/>
        </w:trPr>
        <w:tc>
          <w:tcPr>
            <w:tcW w:w="1160" w:type="dxa"/>
            <w:vAlign w:val="bottom"/>
            <w:tcBorders>
              <w:left w:val="single" w:sz="8" w:color="auto"/>
              <w:right w:val="single" w:sz="8" w:color="auto"/>
            </w:tcBorders>
            <w:shd w:val="clear" w:color="auto" w:fill="CCEEFF"/>
          </w:tcPr>
          <w:p>
            <w:pPr>
              <w:ind w:left="20"/>
              <w:spacing w:after="0" w:line="200" w:lineRule="exact"/>
              <w:rPr>
                <w:sz w:val="20"/>
                <w:szCs w:val="20"/>
                <w:color w:val="auto"/>
              </w:rPr>
            </w:pPr>
            <w:r>
              <w:rPr>
                <w:rFonts w:ascii="Arial" w:cs="Arial" w:eastAsia="Arial" w:hAnsi="Arial"/>
                <w:sz w:val="18"/>
                <w:szCs w:val="18"/>
                <w:color w:val="auto"/>
              </w:rPr>
              <w:t>Dermot</w:t>
            </w:r>
          </w:p>
        </w:tc>
        <w:tc>
          <w:tcPr>
            <w:tcW w:w="580" w:type="dxa"/>
            <w:vAlign w:val="bottom"/>
            <w:tcBorders>
              <w:right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6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Kelleher</w:t>
            </w:r>
          </w:p>
        </w:tc>
        <w:tc>
          <w:tcPr>
            <w:tcW w:w="58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2011</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c>
          <w:tcPr>
            <w:tcW w:w="104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22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0"/>
        </w:trPr>
        <w:tc>
          <w:tcPr>
            <w:tcW w:w="1160" w:type="dxa"/>
            <w:vAlign w:val="bottom"/>
            <w:tcBorders>
              <w:left w:val="single" w:sz="8" w:color="auto"/>
              <w:right w:val="single" w:sz="8" w:color="auto"/>
            </w:tcBorders>
          </w:tcPr>
          <w:p>
            <w:pPr>
              <w:ind w:left="20"/>
              <w:spacing w:after="0" w:line="200" w:lineRule="exact"/>
              <w:rPr>
                <w:sz w:val="20"/>
                <w:szCs w:val="20"/>
                <w:color w:val="auto"/>
              </w:rPr>
            </w:pPr>
            <w:r>
              <w:rPr>
                <w:rFonts w:ascii="Arial" w:cs="Arial" w:eastAsia="Arial" w:hAnsi="Arial"/>
                <w:sz w:val="18"/>
                <w:szCs w:val="18"/>
                <w:color w:val="auto"/>
              </w:rPr>
              <w:t>Anthony</w:t>
            </w:r>
          </w:p>
        </w:tc>
        <w:tc>
          <w:tcPr>
            <w:tcW w:w="58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Murphy***</w:t>
            </w:r>
          </w:p>
        </w:tc>
        <w:tc>
          <w:tcPr>
            <w:tcW w:w="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2011</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16</w:t>
            </w:r>
          </w:p>
        </w:tc>
        <w:tc>
          <w:tcPr>
            <w:tcW w:w="10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78</w:t>
            </w:r>
          </w:p>
        </w:tc>
        <w:tc>
          <w:tcPr>
            <w:tcW w:w="12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0"/>
        </w:trPr>
        <w:tc>
          <w:tcPr>
            <w:tcW w:w="1160" w:type="dxa"/>
            <w:vAlign w:val="bottom"/>
            <w:tcBorders>
              <w:left w:val="single" w:sz="8" w:color="auto"/>
              <w:right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Declan</w:t>
            </w:r>
          </w:p>
        </w:tc>
        <w:tc>
          <w:tcPr>
            <w:tcW w:w="580" w:type="dxa"/>
            <w:vAlign w:val="bottom"/>
            <w:tcBorders>
              <w:right w:val="single" w:sz="8" w:color="auto"/>
            </w:tcBorders>
            <w:shd w:val="clear" w:color="auto" w:fill="CCEEFF"/>
          </w:tcPr>
          <w:p>
            <w:pPr>
              <w:spacing w:after="0"/>
              <w:rPr>
                <w:sz w:val="17"/>
                <w:szCs w:val="17"/>
                <w:color w:val="auto"/>
              </w:rPr>
            </w:pP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2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2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260" w:type="dxa"/>
            <w:vAlign w:val="bottom"/>
            <w:tcBorders>
              <w:right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McKeon</w:t>
            </w:r>
          </w:p>
        </w:tc>
        <w:tc>
          <w:tcPr>
            <w:tcW w:w="58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2011</w:t>
            </w:r>
          </w:p>
        </w:tc>
        <w:tc>
          <w:tcPr>
            <w:tcW w:w="8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60" w:type="dxa"/>
            <w:vAlign w:val="bottom"/>
            <w:tcBorders>
              <w:right w:val="single" w:sz="8" w:color="auto"/>
            </w:tcBorders>
            <w:vMerge w:val="continue"/>
            <w:shd w:val="clear" w:color="auto" w:fill="CCEEFF"/>
          </w:tcPr>
          <w:p>
            <w:pPr>
              <w:spacing w:after="0"/>
              <w:rPr>
                <w:sz w:val="19"/>
                <w:szCs w:val="19"/>
                <w:color w:val="auto"/>
              </w:rPr>
            </w:pPr>
          </w:p>
        </w:tc>
        <w:tc>
          <w:tcPr>
            <w:tcW w:w="880" w:type="dxa"/>
            <w:vAlign w:val="bottom"/>
            <w:tcBorders>
              <w:right w:val="single" w:sz="8" w:color="auto"/>
            </w:tcBorders>
            <w:vMerge w:val="continue"/>
            <w:shd w:val="clear" w:color="auto" w:fill="CCEEFF"/>
          </w:tcPr>
          <w:p>
            <w:pPr>
              <w:spacing w:after="0"/>
              <w:rPr>
                <w:sz w:val="19"/>
                <w:szCs w:val="19"/>
                <w:color w:val="auto"/>
              </w:rPr>
            </w:pPr>
          </w:p>
        </w:tc>
        <w:tc>
          <w:tcPr>
            <w:tcW w:w="900" w:type="dxa"/>
            <w:vAlign w:val="bottom"/>
            <w:tcBorders>
              <w:right w:val="single" w:sz="8" w:color="auto"/>
            </w:tcBorders>
            <w:vMerge w:val="continue"/>
            <w:shd w:val="clear" w:color="auto" w:fill="CCEEFF"/>
          </w:tcPr>
          <w:p>
            <w:pPr>
              <w:spacing w:after="0"/>
              <w:rPr>
                <w:sz w:val="19"/>
                <w:szCs w:val="19"/>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c>
          <w:tcPr>
            <w:tcW w:w="104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22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9"/>
        </w:trPr>
        <w:tc>
          <w:tcPr>
            <w:tcW w:w="1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Cathrin Petty</w:t>
            </w:r>
          </w:p>
        </w:tc>
        <w:tc>
          <w:tcPr>
            <w:tcW w:w="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2011</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59</w:t>
            </w:r>
          </w:p>
        </w:tc>
        <w:tc>
          <w:tcPr>
            <w:tcW w:w="122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423"/>
        </w:trPr>
        <w:tc>
          <w:tcPr>
            <w:tcW w:w="11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2011</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667</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99</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237</w:t>
            </w:r>
          </w:p>
        </w:tc>
        <w:tc>
          <w:tcPr>
            <w:tcW w:w="126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44</w:t>
            </w:r>
          </w:p>
        </w:tc>
        <w:tc>
          <w:tcPr>
            <w:tcW w:w="88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1,047</w:t>
            </w:r>
          </w:p>
        </w:tc>
        <w:tc>
          <w:tcPr>
            <w:tcW w:w="900" w:type="dxa"/>
            <w:vAlign w:val="bottom"/>
            <w:tcBorders>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1,460</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1,219</w:t>
            </w:r>
          </w:p>
        </w:tc>
        <w:tc>
          <w:tcPr>
            <w:tcW w:w="104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760</w:t>
            </w:r>
          </w:p>
        </w:tc>
        <w:tc>
          <w:tcPr>
            <w:tcW w:w="122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3,439</w:t>
            </w:r>
          </w:p>
        </w:tc>
        <w:tc>
          <w:tcPr>
            <w:tcW w:w="0" w:type="dxa"/>
            <w:vAlign w:val="bottom"/>
          </w:tcPr>
          <w:p>
            <w:pPr>
              <w:spacing w:after="0"/>
              <w:rPr>
                <w:sz w:val="1"/>
                <w:szCs w:val="1"/>
                <w:color w:val="auto"/>
              </w:rPr>
            </w:pPr>
          </w:p>
        </w:tc>
      </w:tr>
      <w:tr>
        <w:trPr>
          <w:trHeight w:val="253"/>
        </w:trPr>
        <w:tc>
          <w:tcPr>
            <w:tcW w:w="116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580" w:type="dxa"/>
            <w:vAlign w:val="bottom"/>
            <w:tcBorders>
              <w:bottom w:val="single" w:sz="8" w:color="auto"/>
              <w:right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right w:val="single" w:sz="8" w:color="auto"/>
            </w:tcBorders>
            <w:shd w:val="clear" w:color="auto" w:fill="CCEEFF"/>
          </w:tcPr>
          <w:p>
            <w:pPr>
              <w:spacing w:after="0"/>
              <w:rPr>
                <w:sz w:val="22"/>
                <w:szCs w:val="22"/>
                <w:color w:val="auto"/>
              </w:rPr>
            </w:pPr>
          </w:p>
        </w:tc>
        <w:tc>
          <w:tcPr>
            <w:tcW w:w="880" w:type="dxa"/>
            <w:vAlign w:val="bottom"/>
            <w:tcBorders>
              <w:bottom w:val="single" w:sz="8" w:color="auto"/>
              <w:right w:val="single" w:sz="8" w:color="auto"/>
            </w:tcBorders>
            <w:shd w:val="clear" w:color="auto" w:fill="CCEEFF"/>
          </w:tcPr>
          <w:p>
            <w:pPr>
              <w:spacing w:after="0"/>
              <w:rPr>
                <w:sz w:val="22"/>
                <w:szCs w:val="22"/>
                <w:color w:val="auto"/>
              </w:rPr>
            </w:pPr>
          </w:p>
        </w:tc>
        <w:tc>
          <w:tcPr>
            <w:tcW w:w="900" w:type="dxa"/>
            <w:vAlign w:val="bottom"/>
            <w:tcBorders>
              <w:bottom w:val="single" w:sz="8" w:color="auto"/>
              <w:right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right w:val="single" w:sz="8" w:color="auto"/>
            </w:tcBorders>
            <w:shd w:val="clear" w:color="auto" w:fill="CCEEFF"/>
          </w:tcPr>
          <w:p>
            <w:pPr>
              <w:spacing w:after="0"/>
              <w:rPr>
                <w:sz w:val="22"/>
                <w:szCs w:val="22"/>
                <w:color w:val="auto"/>
              </w:rPr>
            </w:pPr>
          </w:p>
        </w:tc>
        <w:tc>
          <w:tcPr>
            <w:tcW w:w="1220" w:type="dxa"/>
            <w:vAlign w:val="bottom"/>
            <w:tcBorders>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100" w:right="2560" w:firstLine="83"/>
        <w:spacing w:after="0" w:line="303" w:lineRule="auto"/>
        <w:tabs>
          <w:tab w:leader="none" w:pos="321"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pension contributions above represent contributions paid by the Company to a defined contribution pension scheme. ** Appointed as a Director from 1 October 2011 and therefore the above remuneration has been pro rated accordingly.</w:t>
      </w:r>
    </w:p>
    <w:p>
      <w:pPr>
        <w:spacing w:after="0"/>
        <w:rPr>
          <w:sz w:val="20"/>
          <w:szCs w:val="20"/>
          <w:color w:val="auto"/>
        </w:rPr>
      </w:pPr>
      <w:r>
        <w:rPr>
          <w:rFonts w:ascii="Arial" w:cs="Arial" w:eastAsia="Arial" w:hAnsi="Arial"/>
          <w:sz w:val="18"/>
          <w:szCs w:val="18"/>
          <w:color w:val="auto"/>
        </w:rPr>
        <w:t>*** Retired 31 December 2011.</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obligations</w:t>
      </w:r>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 xml:space="preserve">The Group operates a number of defined contribution schemes and a defined benefit pension scheme. The Group accounts for pensions in accordance with IAS 19 </w:t>
      </w:r>
      <w:r>
        <w:rPr>
          <w:rFonts w:ascii="Arial" w:cs="Arial" w:eastAsia="Arial" w:hAnsi="Arial"/>
          <w:sz w:val="18"/>
          <w:szCs w:val="18"/>
          <w:i w:val="1"/>
          <w:iCs w:val="1"/>
          <w:color w:val="auto"/>
        </w:rPr>
        <w:t>Employee Benefits</w:t>
      </w:r>
      <w:r>
        <w:rPr>
          <w:rFonts w:ascii="Arial" w:cs="Arial" w:eastAsia="Arial" w:hAnsi="Arial"/>
          <w:sz w:val="18"/>
          <w:szCs w:val="18"/>
          <w:color w:val="auto"/>
        </w:rPr>
        <w:t xml:space="preserve"> (“IAS 19”).</w:t>
      </w:r>
    </w:p>
    <w:p>
      <w:pPr>
        <w:spacing w:after="0" w:line="206" w:lineRule="exact"/>
        <w:rPr>
          <w:sz w:val="20"/>
          <w:szCs w:val="20"/>
          <w:color w:val="auto"/>
        </w:rPr>
      </w:pPr>
    </w:p>
    <w:p>
      <w:pPr>
        <w:ind w:left="800" w:hanging="794"/>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Defined Contribution Schemes</w:t>
      </w:r>
    </w:p>
    <w:p>
      <w:pPr>
        <w:spacing w:after="0" w:line="2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Certain employees of the Group are eligible to participate in a defined contribution plan (the "Plan"). Participants in the Plan may elect to defer a portion of their pre-tax earnings into a pension plan, which is run by an independent party. The Group matches each participant's contributions typically at 6% of the participant's annual compensation. Contributions to this plan are recorded, as a remuneration expense in the consolidated Income Statement. Contributions for the year ended 31 December 2012 and year ended 31 December 2011 were $18,187,000 and $16,644,000 respectively.</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Group's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Group matches 50% of each participant's contributions and each participant can contribute up to 6% of their annual compensation. Contributions to the U.S. Plan are recorded, in the year contributed, as an expense in the consolidated Income Statement. Contributions for the year ended 31 December 2012 and year ended 31 December 2011 were $8,442,000 and $7,064,000 respectively.</w:t>
      </w:r>
    </w:p>
    <w:p>
      <w:pPr>
        <w:spacing w:after="0" w:line="204" w:lineRule="exact"/>
        <w:rPr>
          <w:sz w:val="20"/>
          <w:szCs w:val="20"/>
          <w:color w:val="auto"/>
        </w:rPr>
      </w:pPr>
    </w:p>
    <w:p>
      <w:pPr>
        <w:ind w:left="800" w:hanging="794"/>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Defined Benefit Plans</w:t>
      </w:r>
    </w:p>
    <w:p>
      <w:pPr>
        <w:spacing w:after="0" w:line="2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One of the Group’s subsidiaries, ICON Development Solutions Limited, which was acquired by the Group in 2003, operates a defined benefit pension plan in the United Kingdom for certain of its employees, which is now closed to new members. The plan is managed externally and the related pension costs and liabilities are assessed in accordance with the advice of a professionally qualified actuary. Plan assets at 31 December 2012 and 31 December 2011 consist of units held in independently administered funds. The most recent valuation of plan obligations was carried out as at 1 September 2010 using the projected unit credit method and updated on an appropriate basis at 31 December 2012.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assumptions</w:t>
      </w:r>
    </w:p>
    <w:p>
      <w:pPr>
        <w:spacing w:after="0" w:line="244"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color w:val="auto"/>
        </w:rPr>
        <w:t>The following assumptions were used in determining the fair value of the plan assets and the present value of the projected benefit obligation at 31 December 2012: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66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160" w:type="dxa"/>
            <w:vAlign w:val="bottom"/>
          </w:tcPr>
          <w:p>
            <w:pPr>
              <w:jc w:val="right"/>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466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160" w:type="dxa"/>
            <w:vAlign w:val="bottom"/>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6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4.60%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4660" w:type="dxa"/>
            <w:vAlign w:val="bottom"/>
          </w:tcPr>
          <w:p>
            <w:pPr>
              <w:jc w:val="right"/>
              <w:ind w:right="152"/>
              <w:spacing w:after="0"/>
              <w:rPr>
                <w:sz w:val="20"/>
                <w:szCs w:val="20"/>
                <w:color w:val="auto"/>
              </w:rPr>
            </w:pPr>
            <w:r>
              <w:rPr>
                <w:rFonts w:ascii="Arial" w:cs="Arial" w:eastAsia="Arial" w:hAnsi="Arial"/>
                <w:sz w:val="18"/>
                <w:szCs w:val="18"/>
                <w:b w:val="1"/>
                <w:bCs w:val="1"/>
                <w:color w:val="auto"/>
              </w:rPr>
              <w:t>5.70%</w:t>
            </w:r>
          </w:p>
        </w:tc>
        <w:tc>
          <w:tcPr>
            <w:tcW w:w="1160" w:type="dxa"/>
            <w:vAlign w:val="bottom"/>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Inflation rate</w:t>
            </w:r>
          </w:p>
        </w:tc>
        <w:tc>
          <w:tcPr>
            <w:tcW w:w="46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2.90%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Future pension increases</w:t>
            </w:r>
          </w:p>
        </w:tc>
        <w:tc>
          <w:tcPr>
            <w:tcW w:w="4660" w:type="dxa"/>
            <w:vAlign w:val="bottom"/>
          </w:tcPr>
          <w:p>
            <w:pPr>
              <w:jc w:val="right"/>
              <w:ind w:right="152"/>
              <w:spacing w:after="0"/>
              <w:rPr>
                <w:sz w:val="20"/>
                <w:szCs w:val="20"/>
                <w:color w:val="auto"/>
              </w:rPr>
            </w:pPr>
            <w:r>
              <w:rPr>
                <w:rFonts w:ascii="Arial" w:cs="Arial" w:eastAsia="Arial" w:hAnsi="Arial"/>
                <w:sz w:val="18"/>
                <w:szCs w:val="18"/>
                <w:b w:val="1"/>
                <w:bCs w:val="1"/>
                <w:color w:val="auto"/>
              </w:rPr>
              <w:t>2.80%</w:t>
            </w:r>
          </w:p>
        </w:tc>
        <w:tc>
          <w:tcPr>
            <w:tcW w:w="116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Future salary increases</w:t>
            </w:r>
          </w:p>
        </w:tc>
        <w:tc>
          <w:tcPr>
            <w:tcW w:w="46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3.40%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discount rate is determined by reference to UK long dated government and corporate bond yields at the balance sheet date. This is represented by the iboxx corporate bond over 15 year index plus 50 basis points. At 31 December 2012 the Company, with input from its actuarial advisors, refined its estimate of the discount rate used in calculating the benefit obligation and applied the additional 50 basis points to the iboxx corporate bond over 15 year index to reflect the long term nature of the benefit obligation. Had this not been applied and a discount rate of 4.1% used, the benefit obligation at December 31, 2012 would have been $25,577,000.</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Retirement benefit obligations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assumptions were used at the commencement of the year in determining the net periodic pension cost for the year ended 31 December 2012:</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660" w:type="dxa"/>
            <w:vAlign w:val="bottom"/>
          </w:tcPr>
          <w:p>
            <w:pPr>
              <w:jc w:val="right"/>
              <w:ind w:right="252"/>
              <w:spacing w:after="0"/>
              <w:rPr>
                <w:sz w:val="20"/>
                <w:szCs w:val="20"/>
                <w:color w:val="auto"/>
              </w:rPr>
            </w:pPr>
            <w:r>
              <w:rPr>
                <w:rFonts w:ascii="Arial" w:cs="Arial" w:eastAsia="Arial" w:hAnsi="Arial"/>
                <w:sz w:val="18"/>
                <w:szCs w:val="18"/>
                <w:b w:val="1"/>
                <w:bCs w:val="1"/>
                <w:color w:val="auto"/>
              </w:rPr>
              <w:t>31 December</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w w:val="96"/>
              </w:rPr>
              <w:t>31 December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1660" w:type="dxa"/>
            <w:vAlign w:val="bottom"/>
          </w:tcPr>
          <w:p>
            <w:pPr>
              <w:jc w:val="right"/>
              <w:ind w:right="252"/>
              <w:spacing w:after="0"/>
              <w:rPr>
                <w:sz w:val="20"/>
                <w:szCs w:val="20"/>
                <w:color w:val="auto"/>
              </w:rPr>
            </w:pPr>
            <w:r>
              <w:rPr>
                <w:rFonts w:ascii="Arial" w:cs="Arial" w:eastAsia="Arial" w:hAnsi="Arial"/>
                <w:sz w:val="18"/>
                <w:szCs w:val="18"/>
                <w:b w:val="1"/>
                <w:bCs w:val="1"/>
                <w:color w:val="auto"/>
              </w:rPr>
              <w:t>2012</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6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4.70%</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660" w:type="dxa"/>
            <w:vAlign w:val="bottom"/>
          </w:tcPr>
          <w:p>
            <w:pPr>
              <w:jc w:val="right"/>
              <w:ind w:right="252"/>
              <w:spacing w:after="0"/>
              <w:rPr>
                <w:sz w:val="20"/>
                <w:szCs w:val="20"/>
                <w:color w:val="auto"/>
              </w:rPr>
            </w:pPr>
            <w:r>
              <w:rPr>
                <w:rFonts w:ascii="Arial" w:cs="Arial" w:eastAsia="Arial" w:hAnsi="Arial"/>
                <w:sz w:val="18"/>
                <w:szCs w:val="18"/>
                <w:b w:val="1"/>
                <w:bCs w:val="1"/>
                <w:color w:val="auto"/>
              </w:rPr>
              <w:t>5.80%</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Future salary increases</w:t>
            </w:r>
          </w:p>
        </w:tc>
        <w:tc>
          <w:tcPr>
            <w:tcW w:w="16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3.50%</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431"/>
        </w:trPr>
        <w:tc>
          <w:tcPr>
            <w:tcW w:w="8600" w:type="dxa"/>
            <w:vAlign w:val="bottom"/>
            <w:gridSpan w:val="2"/>
          </w:tcPr>
          <w:p>
            <w:pPr>
              <w:spacing w:after="0"/>
              <w:rPr>
                <w:sz w:val="20"/>
                <w:szCs w:val="20"/>
                <w:color w:val="auto"/>
              </w:rPr>
            </w:pPr>
            <w:r>
              <w:rPr>
                <w:rFonts w:ascii="Arial" w:cs="Arial" w:eastAsia="Arial" w:hAnsi="Arial"/>
                <w:sz w:val="18"/>
                <w:szCs w:val="18"/>
                <w:i w:val="1"/>
                <w:iCs w:val="1"/>
                <w:color w:val="auto"/>
              </w:rPr>
              <w:t>Mortality assumptions</w:t>
            </w: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color w:val="auto"/>
                <w:w w:val="93"/>
              </w:rPr>
              <w:t>The mortality assumptions adopted at 31 December 2012 imply the following life expectancies at date of retirement:</w:t>
            </w: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1660" w:type="dxa"/>
            <w:vAlign w:val="bottom"/>
          </w:tcPr>
          <w:p>
            <w:pPr>
              <w:jc w:val="right"/>
              <w:ind w:right="212"/>
              <w:spacing w:after="0"/>
              <w:rPr>
                <w:sz w:val="20"/>
                <w:szCs w:val="20"/>
                <w:color w:val="auto"/>
              </w:rPr>
            </w:pPr>
            <w:r>
              <w:rPr>
                <w:rFonts w:ascii="Arial" w:cs="Arial" w:eastAsia="Arial" w:hAnsi="Arial"/>
                <w:sz w:val="18"/>
                <w:szCs w:val="18"/>
                <w:b w:val="1"/>
                <w:bCs w:val="1"/>
                <w:color w:val="auto"/>
              </w:rPr>
              <w:t>31 December</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w w:val="96"/>
              </w:rPr>
              <w:t>31 December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1660" w:type="dxa"/>
            <w:vAlign w:val="bottom"/>
          </w:tcPr>
          <w:p>
            <w:pPr>
              <w:jc w:val="right"/>
              <w:ind w:right="212"/>
              <w:spacing w:after="0"/>
              <w:rPr>
                <w:sz w:val="20"/>
                <w:szCs w:val="20"/>
                <w:color w:val="auto"/>
              </w:rPr>
            </w:pPr>
            <w:r>
              <w:rPr>
                <w:rFonts w:ascii="Arial" w:cs="Arial" w:eastAsia="Arial" w:hAnsi="Arial"/>
                <w:sz w:val="18"/>
                <w:szCs w:val="18"/>
                <w:b w:val="1"/>
                <w:bCs w:val="1"/>
                <w:color w:val="auto"/>
              </w:rPr>
              <w:t>2012</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Male currently age 42</w:t>
            </w:r>
          </w:p>
        </w:tc>
        <w:tc>
          <w:tcPr>
            <w:tcW w:w="16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26.7 years</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26.6 years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Female currently age 42</w:t>
            </w:r>
          </w:p>
        </w:tc>
        <w:tc>
          <w:tcPr>
            <w:tcW w:w="1660" w:type="dxa"/>
            <w:vAlign w:val="bottom"/>
          </w:tcPr>
          <w:p>
            <w:pPr>
              <w:jc w:val="right"/>
              <w:ind w:right="212"/>
              <w:spacing w:after="0"/>
              <w:rPr>
                <w:sz w:val="20"/>
                <w:szCs w:val="20"/>
                <w:color w:val="auto"/>
              </w:rPr>
            </w:pPr>
            <w:r>
              <w:rPr>
                <w:rFonts w:ascii="Arial" w:cs="Arial" w:eastAsia="Arial" w:hAnsi="Arial"/>
                <w:sz w:val="18"/>
                <w:szCs w:val="18"/>
                <w:b w:val="1"/>
                <w:bCs w:val="1"/>
                <w:color w:val="auto"/>
              </w:rPr>
              <w:t>29.2 years</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29.1 years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Male currently age 62</w:t>
            </w:r>
          </w:p>
        </w:tc>
        <w:tc>
          <w:tcPr>
            <w:tcW w:w="16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24.7 years</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24.5 years</w:t>
            </w: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Female currently age 62</w:t>
            </w:r>
          </w:p>
        </w:tc>
        <w:tc>
          <w:tcPr>
            <w:tcW w:w="16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27.3 years</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27.2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8600" w:type="dxa"/>
            <w:vAlign w:val="bottom"/>
            <w:gridSpan w:val="2"/>
          </w:tcPr>
          <w:p>
            <w:pPr>
              <w:spacing w:after="0"/>
              <w:rPr>
                <w:sz w:val="20"/>
                <w:szCs w:val="20"/>
                <w:color w:val="auto"/>
              </w:rPr>
            </w:pPr>
            <w:r>
              <w:rPr>
                <w:rFonts w:ascii="Arial" w:cs="Arial" w:eastAsia="Arial" w:hAnsi="Arial"/>
                <w:sz w:val="18"/>
                <w:szCs w:val="18"/>
                <w:i w:val="1"/>
                <w:iCs w:val="1"/>
                <w:color w:val="auto"/>
              </w:rPr>
              <w:t>Consolidated Financial Statements</w:t>
            </w: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8600" w:type="dxa"/>
            <w:vAlign w:val="bottom"/>
            <w:gridSpan w:val="2"/>
          </w:tcPr>
          <w:p>
            <w:pPr>
              <w:spacing w:after="0"/>
              <w:rPr>
                <w:sz w:val="20"/>
                <w:szCs w:val="20"/>
                <w:color w:val="auto"/>
              </w:rPr>
            </w:pPr>
            <w:r>
              <w:rPr>
                <w:rFonts w:ascii="Arial" w:cs="Arial" w:eastAsia="Arial" w:hAnsi="Arial"/>
                <w:sz w:val="18"/>
                <w:szCs w:val="18"/>
                <w:color w:val="auto"/>
              </w:rPr>
              <w:t>Movement in the net benefit obligation recognised in non-current other liabilities was as follows:</w:t>
            </w: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b w:val="1"/>
                <w:bCs w:val="1"/>
                <w:color w:val="auto"/>
              </w:rPr>
              <w:t>31 December</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w w:val="96"/>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8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Projected benefit obligation at start of year</w:t>
            </w:r>
          </w:p>
        </w:tc>
        <w:tc>
          <w:tcPr>
            <w:tcW w:w="16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19,924</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16,482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Current service cost</w:t>
            </w:r>
          </w:p>
        </w:tc>
        <w:tc>
          <w:tcPr>
            <w:tcW w:w="1660" w:type="dxa"/>
            <w:vAlign w:val="bottom"/>
          </w:tcPr>
          <w:p>
            <w:pPr>
              <w:jc w:val="right"/>
              <w:ind w:right="132"/>
              <w:spacing w:after="0"/>
              <w:rPr>
                <w:sz w:val="20"/>
                <w:szCs w:val="20"/>
                <w:color w:val="auto"/>
              </w:rPr>
            </w:pPr>
            <w:r>
              <w:rPr>
                <w:rFonts w:ascii="Arial" w:cs="Arial" w:eastAsia="Arial" w:hAnsi="Arial"/>
                <w:sz w:val="18"/>
                <w:szCs w:val="18"/>
                <w:b w:val="1"/>
                <w:bCs w:val="1"/>
                <w:color w:val="auto"/>
              </w:rPr>
              <w:t>242</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6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964</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1660" w:type="dxa"/>
            <w:vAlign w:val="bottom"/>
          </w:tcPr>
          <w:p>
            <w:pPr>
              <w:jc w:val="right"/>
              <w:ind w:right="132"/>
              <w:spacing w:after="0"/>
              <w:rPr>
                <w:sz w:val="20"/>
                <w:szCs w:val="20"/>
                <w:color w:val="auto"/>
              </w:rPr>
            </w:pPr>
            <w:r>
              <w:rPr>
                <w:rFonts w:ascii="Arial" w:cs="Arial" w:eastAsia="Arial" w:hAnsi="Arial"/>
                <w:sz w:val="18"/>
                <w:szCs w:val="18"/>
                <w:b w:val="1"/>
                <w:bCs w:val="1"/>
                <w:color w:val="auto"/>
              </w:rPr>
              <w:t>101</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on benefit obligation</w:t>
            </w:r>
          </w:p>
        </w:tc>
        <w:tc>
          <w:tcPr>
            <w:tcW w:w="16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405</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Benefits paid</w:t>
            </w:r>
          </w:p>
        </w:tc>
        <w:tc>
          <w:tcPr>
            <w:tcW w:w="1660" w:type="dxa"/>
            <w:vAlign w:val="bottom"/>
          </w:tcPr>
          <w:p>
            <w:pPr>
              <w:jc w:val="right"/>
              <w:ind w:right="72"/>
              <w:spacing w:after="0"/>
              <w:rPr>
                <w:sz w:val="20"/>
                <w:szCs w:val="20"/>
                <w:color w:val="auto"/>
              </w:rPr>
            </w:pPr>
            <w:r>
              <w:rPr>
                <w:rFonts w:ascii="Arial" w:cs="Arial" w:eastAsia="Arial" w:hAnsi="Arial"/>
                <w:sz w:val="18"/>
                <w:szCs w:val="18"/>
                <w:b w:val="1"/>
                <w:bCs w:val="1"/>
                <w:color w:val="auto"/>
              </w:rPr>
              <w:t>(237)</w:t>
            </w: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rate changes</w:t>
            </w:r>
          </w:p>
        </w:tc>
        <w:tc>
          <w:tcPr>
            <w:tcW w:w="16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1,128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8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Projected benefit obligation at end of year</w:t>
            </w:r>
          </w:p>
        </w:tc>
        <w:tc>
          <w:tcPr>
            <w:tcW w:w="16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22,527</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19,924</w:t>
            </w: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8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start of year</w:t>
            </w:r>
          </w:p>
        </w:tc>
        <w:tc>
          <w:tcPr>
            <w:tcW w:w="16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15,021</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15,499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660" w:type="dxa"/>
            <w:vAlign w:val="bottom"/>
          </w:tcPr>
          <w:p>
            <w:pPr>
              <w:jc w:val="right"/>
              <w:ind w:right="132"/>
              <w:spacing w:after="0"/>
              <w:rPr>
                <w:sz w:val="20"/>
                <w:szCs w:val="20"/>
                <w:color w:val="auto"/>
              </w:rPr>
            </w:pPr>
            <w:r>
              <w:rPr>
                <w:rFonts w:ascii="Arial" w:cs="Arial" w:eastAsia="Arial" w:hAnsi="Arial"/>
                <w:sz w:val="18"/>
                <w:szCs w:val="18"/>
                <w:b w:val="1"/>
                <w:bCs w:val="1"/>
                <w:color w:val="auto"/>
              </w:rPr>
              <w:t>895</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Actuarial gain/(loss) on plan assets</w:t>
            </w:r>
          </w:p>
        </w:tc>
        <w:tc>
          <w:tcPr>
            <w:tcW w:w="16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915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Employer contribution</w:t>
            </w:r>
          </w:p>
        </w:tc>
        <w:tc>
          <w:tcPr>
            <w:tcW w:w="1660" w:type="dxa"/>
            <w:vAlign w:val="bottom"/>
          </w:tcPr>
          <w:p>
            <w:pPr>
              <w:jc w:val="right"/>
              <w:ind w:right="132"/>
              <w:spacing w:after="0"/>
              <w:rPr>
                <w:sz w:val="20"/>
                <w:szCs w:val="20"/>
                <w:color w:val="auto"/>
              </w:rPr>
            </w:pPr>
            <w:r>
              <w:rPr>
                <w:rFonts w:ascii="Arial" w:cs="Arial" w:eastAsia="Arial" w:hAnsi="Arial"/>
                <w:sz w:val="18"/>
                <w:szCs w:val="18"/>
                <w:b w:val="1"/>
                <w:bCs w:val="1"/>
                <w:color w:val="auto"/>
              </w:rPr>
              <w:t>239</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Plan participants’ contributions</w:t>
            </w:r>
          </w:p>
        </w:tc>
        <w:tc>
          <w:tcPr>
            <w:tcW w:w="16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101</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Benefit paid</w:t>
            </w:r>
          </w:p>
        </w:tc>
        <w:tc>
          <w:tcPr>
            <w:tcW w:w="1660" w:type="dxa"/>
            <w:vAlign w:val="bottom"/>
          </w:tcPr>
          <w:p>
            <w:pPr>
              <w:jc w:val="right"/>
              <w:ind w:right="72"/>
              <w:spacing w:after="0"/>
              <w:rPr>
                <w:sz w:val="20"/>
                <w:szCs w:val="20"/>
                <w:color w:val="auto"/>
              </w:rPr>
            </w:pPr>
            <w:r>
              <w:rPr>
                <w:rFonts w:ascii="Arial" w:cs="Arial" w:eastAsia="Arial" w:hAnsi="Arial"/>
                <w:sz w:val="18"/>
                <w:szCs w:val="18"/>
                <w:b w:val="1"/>
                <w:bCs w:val="1"/>
                <w:color w:val="auto"/>
              </w:rPr>
              <w:t>(237)</w:t>
            </w: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rate changes</w:t>
            </w:r>
          </w:p>
        </w:tc>
        <w:tc>
          <w:tcPr>
            <w:tcW w:w="16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873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8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16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17,807</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15,021</w:t>
            </w:r>
          </w:p>
        </w:tc>
        <w:tc>
          <w:tcPr>
            <w:tcW w:w="0" w:type="dxa"/>
            <w:vAlign w:val="bottom"/>
          </w:tcPr>
          <w:p>
            <w:pPr>
              <w:spacing w:after="0"/>
              <w:rPr>
                <w:sz w:val="1"/>
                <w:szCs w:val="1"/>
                <w:color w:val="auto"/>
              </w:rPr>
            </w:pPr>
          </w:p>
        </w:tc>
      </w:tr>
      <w:tr>
        <w:trPr>
          <w:trHeight w:val="239"/>
        </w:trPr>
        <w:tc>
          <w:tcPr>
            <w:tcW w:w="20" w:type="dxa"/>
            <w:vAlign w:val="bottom"/>
            <w:vMerge w:val="restart"/>
          </w:tcPr>
          <w:p>
            <w:pPr>
              <w:spacing w:after="0"/>
              <w:rPr>
                <w:sz w:val="20"/>
                <w:szCs w:val="20"/>
                <w:color w:val="auto"/>
              </w:rPr>
            </w:pPr>
          </w:p>
        </w:tc>
        <w:tc>
          <w:tcPr>
            <w:tcW w:w="8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8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benefit obligation</w:t>
            </w:r>
          </w:p>
        </w:tc>
        <w:tc>
          <w:tcPr>
            <w:tcW w:w="1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(4,720)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562"/>
        </w:trPr>
        <w:tc>
          <w:tcPr>
            <w:tcW w:w="8600" w:type="dxa"/>
            <w:vAlign w:val="bottom"/>
            <w:gridSpan w:val="2"/>
          </w:tcPr>
          <w:p>
            <w:pPr>
              <w:ind w:left="5620"/>
              <w:spacing w:after="0"/>
              <w:rPr>
                <w:sz w:val="20"/>
                <w:szCs w:val="20"/>
                <w:color w:val="auto"/>
              </w:rPr>
            </w:pPr>
            <w:r>
              <w:rPr>
                <w:rFonts w:ascii="Arial" w:cs="Arial" w:eastAsia="Arial" w:hAnsi="Arial"/>
                <w:sz w:val="18"/>
                <w:szCs w:val="18"/>
                <w:color w:val="auto"/>
              </w:rPr>
              <w:t>54</w:t>
            </w: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5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Retirement benefit obligations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Defined benefit pension income/(expense) recognised in the Consolidated Statement of Comprehensive Income was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740" w:type="dxa"/>
            <w:vAlign w:val="bottom"/>
          </w:tcPr>
          <w:p>
            <w:pPr>
              <w:jc w:val="right"/>
              <w:ind w:right="152"/>
              <w:spacing w:after="0"/>
              <w:rPr>
                <w:sz w:val="20"/>
                <w:szCs w:val="20"/>
                <w:color w:val="auto"/>
              </w:rPr>
            </w:pPr>
            <w:r>
              <w:rPr>
                <w:rFonts w:ascii="Arial" w:cs="Arial" w:eastAsia="Arial" w:hAnsi="Arial"/>
                <w:sz w:val="18"/>
                <w:szCs w:val="18"/>
                <w:b w:val="1"/>
                <w:bCs w:val="1"/>
                <w:color w:val="auto"/>
              </w:rPr>
              <w:t>Year ended</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74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74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274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income at start of year</w:t>
            </w:r>
          </w:p>
        </w:tc>
        <w:tc>
          <w:tcPr>
            <w:tcW w:w="27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(4,060)</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Effect of changes in assumptions underlying the present value of benefit obligations</w:t>
            </w:r>
          </w:p>
        </w:tc>
        <w:tc>
          <w:tcPr>
            <w:tcW w:w="2740" w:type="dxa"/>
            <w:vAlign w:val="bottom"/>
          </w:tcPr>
          <w:p>
            <w:pPr>
              <w:jc w:val="right"/>
              <w:ind w:right="92"/>
              <w:spacing w:after="0"/>
              <w:rPr>
                <w:sz w:val="20"/>
                <w:szCs w:val="20"/>
                <w:color w:val="auto"/>
              </w:rPr>
            </w:pPr>
            <w:r>
              <w:rPr>
                <w:rFonts w:ascii="Arial" w:cs="Arial" w:eastAsia="Arial" w:hAnsi="Arial"/>
                <w:sz w:val="18"/>
                <w:szCs w:val="18"/>
                <w:b w:val="1"/>
                <w:bCs w:val="1"/>
                <w:color w:val="auto"/>
              </w:rPr>
              <w:t>(405)</w:t>
            </w:r>
          </w:p>
        </w:tc>
        <w:tc>
          <w:tcPr>
            <w:tcW w:w="1220" w:type="dxa"/>
            <w:vAlign w:val="bottom"/>
          </w:tcPr>
          <w:p>
            <w:pPr>
              <w:jc w:val="right"/>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Experience adjustments on plan assets</w:t>
            </w:r>
          </w:p>
        </w:tc>
        <w:tc>
          <w:tcPr>
            <w:tcW w:w="27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915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7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income at end of year</w:t>
            </w:r>
          </w:p>
        </w:tc>
        <w:tc>
          <w:tcPr>
            <w:tcW w:w="27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(3,550)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bl>
    <w:p>
      <w:pPr>
        <w:jc w:val="both"/>
        <w:spacing w:after="0" w:line="250" w:lineRule="auto"/>
        <w:rPr>
          <w:sz w:val="20"/>
          <w:szCs w:val="20"/>
          <w:color w:val="auto"/>
        </w:rPr>
      </w:pPr>
      <w:r>
        <w:rPr>
          <w:rFonts w:ascii="Arial" w:cs="Arial" w:eastAsia="Arial" w:hAnsi="Arial"/>
          <w:sz w:val="18"/>
          <w:szCs w:val="18"/>
          <w:i w:val="1"/>
          <w:iCs w:val="1"/>
          <w:color w:val="auto"/>
        </w:rPr>
        <w:t>Cumulative net actuarial losses recognised from 1 January 2004 (the date of transition to EU IFRS) to 31 December 2012 amounted to $4.4million (31 December 2011: net losses of $4.9 million)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gridSpan w:val="2"/>
          </w:tcPr>
          <w:p>
            <w:pPr>
              <w:spacing w:after="0"/>
              <w:rPr>
                <w:sz w:val="20"/>
                <w:szCs w:val="20"/>
                <w:color w:val="auto"/>
              </w:rPr>
            </w:pPr>
            <w:r>
              <w:rPr>
                <w:rFonts w:ascii="Arial" w:cs="Arial" w:eastAsia="Arial" w:hAnsi="Arial"/>
                <w:sz w:val="18"/>
                <w:szCs w:val="18"/>
                <w:color w:val="auto"/>
              </w:rPr>
              <w:t>Defined benefit pension expense recognised in the Consolidated Income Statement was as follows:</w:t>
            </w:r>
          </w:p>
        </w:tc>
        <w:tc>
          <w:tcPr>
            <w:tcW w:w="2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200" w:type="dxa"/>
            <w:vAlign w:val="bottom"/>
          </w:tcPr>
          <w:p>
            <w:pPr>
              <w:jc w:val="right"/>
              <w:ind w:right="152"/>
              <w:spacing w:after="0"/>
              <w:rPr>
                <w:sz w:val="20"/>
                <w:szCs w:val="20"/>
                <w:color w:val="auto"/>
              </w:rPr>
            </w:pPr>
            <w:r>
              <w:rPr>
                <w:rFonts w:ascii="Arial" w:cs="Arial" w:eastAsia="Arial" w:hAnsi="Arial"/>
                <w:sz w:val="18"/>
                <w:szCs w:val="18"/>
                <w:b w:val="1"/>
                <w:bCs w:val="1"/>
                <w:color w:val="auto"/>
              </w:rPr>
              <w:t>Year ended</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20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20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220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service cost</w:t>
            </w:r>
          </w:p>
        </w:tc>
        <w:tc>
          <w:tcPr>
            <w:tcW w:w="22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242</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Interest cost</w:t>
            </w:r>
          </w:p>
        </w:tc>
        <w:tc>
          <w:tcPr>
            <w:tcW w:w="2200" w:type="dxa"/>
            <w:vAlign w:val="bottom"/>
          </w:tcPr>
          <w:p>
            <w:pPr>
              <w:jc w:val="right"/>
              <w:ind w:right="152"/>
              <w:spacing w:after="0"/>
              <w:rPr>
                <w:sz w:val="20"/>
                <w:szCs w:val="20"/>
                <w:color w:val="auto"/>
              </w:rPr>
            </w:pPr>
            <w:r>
              <w:rPr>
                <w:rFonts w:ascii="Arial" w:cs="Arial" w:eastAsia="Arial" w:hAnsi="Arial"/>
                <w:sz w:val="18"/>
                <w:szCs w:val="18"/>
                <w:b w:val="1"/>
                <w:bCs w:val="1"/>
                <w:color w:val="auto"/>
              </w:rPr>
              <w:t>964</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gain on plan assets *</w:t>
            </w:r>
          </w:p>
        </w:tc>
        <w:tc>
          <w:tcPr>
            <w:tcW w:w="2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(895)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periodic pension cost</w:t>
            </w:r>
          </w:p>
        </w:tc>
        <w:tc>
          <w:tcPr>
            <w:tcW w:w="2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311</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ind w:right="1520" w:firstLine="6"/>
        <w:spacing w:after="0" w:line="515" w:lineRule="auto"/>
        <w:tabs>
          <w:tab w:leader="none" w:pos="133"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The actual return on plan assets during the year ended 31 December 2012 amounted to a gain of $1.6 million (2011: loss of $0.6 million). Plan Assets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w w:val="91"/>
              </w:rPr>
              <w:t>The fair value of plan assets at 31 December 2012 is analysed as follows:</w:t>
            </w:r>
          </w:p>
        </w:tc>
        <w:tc>
          <w:tcPr>
            <w:tcW w:w="4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760" w:type="dxa"/>
            <w:vAlign w:val="bottom"/>
          </w:tcPr>
          <w:p>
            <w:pPr>
              <w:jc w:val="right"/>
              <w:ind w:right="112"/>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76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476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Unit funds</w:t>
            </w:r>
          </w:p>
        </w:tc>
        <w:tc>
          <w:tcPr>
            <w:tcW w:w="47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17,807</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15,021</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760" w:type="dxa"/>
            <w:vAlign w:val="bottom"/>
          </w:tcPr>
          <w:p>
            <w:pPr>
              <w:jc w:val="right"/>
              <w:ind w:right="4272"/>
              <w:spacing w:after="0"/>
              <w:rPr>
                <w:sz w:val="20"/>
                <w:szCs w:val="20"/>
                <w:color w:val="auto"/>
              </w:rPr>
            </w:pPr>
            <w:r>
              <w:rPr>
                <w:rFonts w:ascii="Arial" w:cs="Arial" w:eastAsia="Arial" w:hAnsi="Arial"/>
                <w:sz w:val="18"/>
                <w:szCs w:val="18"/>
                <w:color w:val="auto"/>
              </w:rPr>
              <w:t>55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c>
          <w:tcPr>
            <w:tcW w:w="47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Retirement benefit obligations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assets of the scheme are invested in a unitised with profits policy. The plan’s assets do not include any of the Group’s own financial instruments, nor any property occupied by, or other assets used by the Group. The expected long-term rate of return on assets at 31 December 2012 of 5.7% (2011: 5.8%) was calculated on the assumption of the following returns for each asset class: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44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160" w:type="dxa"/>
            <w:vAlign w:val="bottom"/>
          </w:tcPr>
          <w:p>
            <w:pPr>
              <w:jc w:val="right"/>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544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160" w:type="dxa"/>
            <w:vAlign w:val="bottom"/>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Equities</w:t>
            </w:r>
          </w:p>
        </w:tc>
        <w:tc>
          <w:tcPr>
            <w:tcW w:w="54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Bonds</w:t>
            </w:r>
          </w:p>
        </w:tc>
        <w:tc>
          <w:tcPr>
            <w:tcW w:w="54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At December 31, 2012 UK gilts were yielding around 2.7% per annum. This is often referred to as the risk free rate of return as UK gilts have a negligible risk of default and the income payments and capital on redemption are guaranteed by the UK Government. The long-term expected return on equities has been determined by setting appropriate risk premiums above the yield on UK gilts. A long term equity “risk-premium” of 3.1% per annum has been assumed, this being the expected long-term out-performance of equities over UK gilts. The long-term expected return on bonds is determined by reference to UK long dated government and corporate bond yields at the balance sheet date. This is represented by the iboxx AA 15 index plus 50 basis points.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The underlying asset split of the funds at 31 December 2012 and 31 December 2011 was as follows:</w:t>
            </w:r>
          </w:p>
        </w:tc>
        <w:tc>
          <w:tcPr>
            <w:tcW w:w="2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20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160" w:type="dxa"/>
            <w:vAlign w:val="bottom"/>
          </w:tcPr>
          <w:p>
            <w:pPr>
              <w:ind w:left="220"/>
              <w:spacing w:after="0"/>
              <w:rPr>
                <w:sz w:val="20"/>
                <w:szCs w:val="20"/>
                <w:color w:val="auto"/>
              </w:rPr>
            </w:pPr>
            <w:r>
              <w:rPr>
                <w:rFonts w:ascii="Arial" w:cs="Arial" w:eastAsia="Arial" w:hAnsi="Arial"/>
                <w:sz w:val="18"/>
                <w:szCs w:val="18"/>
                <w:color w:val="auto"/>
                <w:w w:val="85"/>
              </w:rPr>
              <w:t>31 December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220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160" w:type="dxa"/>
            <w:vAlign w:val="bottom"/>
          </w:tcPr>
          <w:p>
            <w:pPr>
              <w:jc w:val="center"/>
              <w:ind w:left="732"/>
              <w:spacing w:after="0"/>
              <w:rPr>
                <w:sz w:val="20"/>
                <w:szCs w:val="20"/>
                <w:color w:val="auto"/>
              </w:rPr>
            </w:pPr>
            <w:r>
              <w:rPr>
                <w:rFonts w:ascii="Arial" w:cs="Arial" w:eastAsia="Arial" w:hAnsi="Arial"/>
                <w:sz w:val="18"/>
                <w:szCs w:val="18"/>
                <w:color w:val="auto"/>
                <w:w w:val="84"/>
              </w:rPr>
              <w:t>2011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8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Equities</w:t>
            </w:r>
          </w:p>
        </w:tc>
        <w:tc>
          <w:tcPr>
            <w:tcW w:w="2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90%</w:t>
            </w:r>
          </w:p>
        </w:tc>
        <w:tc>
          <w:tcPr>
            <w:tcW w:w="1160" w:type="dxa"/>
            <w:vAlign w:val="bottom"/>
            <w:tcBorders>
              <w:bottom w:val="single" w:sz="8" w:color="auto"/>
            </w:tcBorders>
            <w:shd w:val="clear" w:color="auto" w:fill="CCEEFF"/>
          </w:tcPr>
          <w:p>
            <w:pPr>
              <w:jc w:val="center"/>
              <w:ind w:left="732"/>
              <w:spacing w:after="0"/>
              <w:rPr>
                <w:sz w:val="20"/>
                <w:szCs w:val="20"/>
                <w:color w:val="auto"/>
              </w:rPr>
            </w:pPr>
            <w:r>
              <w:rPr>
                <w:rFonts w:ascii="Arial" w:cs="Arial" w:eastAsia="Arial" w:hAnsi="Arial"/>
                <w:sz w:val="18"/>
                <w:szCs w:val="18"/>
                <w:color w:val="auto"/>
                <w:w w:val="94"/>
              </w:rPr>
              <w:t>90%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0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8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Bonds</w:t>
            </w:r>
          </w:p>
        </w:tc>
        <w:tc>
          <w:tcPr>
            <w:tcW w:w="2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w:t>
            </w:r>
          </w:p>
        </w:tc>
        <w:tc>
          <w:tcPr>
            <w:tcW w:w="1160" w:type="dxa"/>
            <w:vAlign w:val="bottom"/>
            <w:tcBorders>
              <w:bottom w:val="single" w:sz="8" w:color="auto"/>
            </w:tcBorders>
            <w:shd w:val="clear" w:color="auto" w:fill="CCEEFF"/>
          </w:tcPr>
          <w:p>
            <w:pPr>
              <w:jc w:val="center"/>
              <w:ind w:left="732"/>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Applying the above expected long term rates of return to the asset distribution at 31 December 2012, gives rise to an expected overall rate of return of scheme assets of approximately 5.7% (2011:5.8%) per annum.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The Group expects to contribute approximately $0.3 million of normal contribution to the defined benefit pension scheme for the year ended 31 December 2013.</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ind w:right="8020" w:firstLine="6"/>
        <w:spacing w:after="0" w:line="526" w:lineRule="auto"/>
        <w:tabs>
          <w:tab w:leader="none" w:pos="221"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benefit obligations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Historical Information</w:t>
      </w:r>
    </w:p>
    <w:p>
      <w:pPr>
        <w:spacing w:after="0"/>
        <w:rPr>
          <w:sz w:val="20"/>
          <w:szCs w:val="20"/>
          <w:color w:val="auto"/>
        </w:rPr>
      </w:pPr>
      <w:r>
        <w:rPr>
          <w:rFonts w:ascii="Arial" w:cs="Arial" w:eastAsia="Arial" w:hAnsi="Arial"/>
          <w:sz w:val="18"/>
          <w:szCs w:val="18"/>
          <w:color w:val="auto"/>
        </w:rPr>
        <w:t>The history of the Group’s defined benefit pension scheme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gridSpan w:val="4"/>
          </w:tcPr>
          <w:p>
            <w:pPr>
              <w:spacing w:after="0"/>
              <w:rPr>
                <w:sz w:val="20"/>
                <w:szCs w:val="20"/>
                <w:color w:val="auto"/>
              </w:rPr>
            </w:pPr>
            <w:r>
              <w:rPr>
                <w:rFonts w:ascii="Arial" w:cs="Arial" w:eastAsia="Arial" w:hAnsi="Arial"/>
                <w:sz w:val="18"/>
                <w:szCs w:val="18"/>
                <w:color w:val="auto"/>
              </w:rPr>
              <w:t>Other Liabilities/Non-current other liabilities</w:t>
            </w:r>
          </w:p>
        </w:tc>
        <w:tc>
          <w:tcPr>
            <w:tcW w:w="208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31 December</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31December</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208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2011</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2010</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2009</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8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$’000</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Present value of benefit obligations</w:t>
            </w:r>
          </w:p>
        </w:tc>
        <w:tc>
          <w:tcPr>
            <w:tcW w:w="20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(22,527)</w:t>
            </w:r>
          </w:p>
        </w:tc>
        <w:tc>
          <w:tcPr>
            <w:tcW w:w="1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(19,924)</w:t>
            </w: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(16,482)</w:t>
            </w: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(13,686)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(10,114)</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Fair value of plan assets</w:t>
            </w:r>
          </w:p>
        </w:tc>
        <w:tc>
          <w:tcPr>
            <w:tcW w:w="2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17,807</w:t>
            </w: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15,021</w:t>
            </w:r>
          </w:p>
        </w:tc>
        <w:tc>
          <w:tcPr>
            <w:tcW w:w="13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15,499</w:t>
            </w: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13,573</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10,392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4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Present value of net (obligations)/assets</w:t>
            </w: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(4,720)</w:t>
            </w: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(4,903)</w:t>
            </w: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(983)</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(113)</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4020" w:type="dxa"/>
            <w:vAlign w:val="bottom"/>
            <w:gridSpan w:val="4"/>
          </w:tcPr>
          <w:p>
            <w:pPr>
              <w:spacing w:after="0"/>
              <w:rPr>
                <w:sz w:val="20"/>
                <w:szCs w:val="20"/>
                <w:color w:val="auto"/>
              </w:rPr>
            </w:pPr>
            <w:r>
              <w:rPr>
                <w:rFonts w:ascii="Arial" w:cs="Arial" w:eastAsia="Arial" w:hAnsi="Arial"/>
                <w:sz w:val="18"/>
                <w:szCs w:val="18"/>
                <w:color w:val="auto"/>
              </w:rPr>
              <w:t>Other Comprehensive Income</w:t>
            </w:r>
          </w:p>
        </w:tc>
        <w:tc>
          <w:tcPr>
            <w:tcW w:w="208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31December</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31 December</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31December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8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2011</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2010</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2009</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8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$’000</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Actuarial gain/(loss) on plan assets</w:t>
            </w:r>
          </w:p>
        </w:tc>
        <w:tc>
          <w:tcPr>
            <w:tcW w:w="20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915</w:t>
            </w:r>
          </w:p>
        </w:tc>
        <w:tc>
          <w:tcPr>
            <w:tcW w:w="1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(1,744)</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1,023</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1,460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Actuarial (loss)/gain on scheme liabilities</w:t>
            </w: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(405)</w:t>
            </w: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(2,621)</w:t>
            </w: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(2,232)</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(2,079)</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4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Total actuarial (loss)/gain</w:t>
            </w:r>
          </w:p>
        </w:tc>
        <w:tc>
          <w:tcPr>
            <w:tcW w:w="2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510</w:t>
            </w: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(4,365)</w:t>
            </w: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(1,209)</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(619)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10. Share based payments</w:t>
            </w:r>
          </w:p>
        </w:tc>
        <w:tc>
          <w:tcPr>
            <w:tcW w:w="2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4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On 17 January 2003 the Company adopted the Share Option Plan 2003 (“the 2003 Plan”), pursuant to which the Compensation and Organisation Committee of the Company’s Board of Director’s may grant options to employees of the Company or its subsidiaries for the purchase of ordinary shares. Each grant of an option under the 2003 Plan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 aggregate of 6.0 million ordinary shares have been reserved under the 2003 Plan; and, in no event can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400,000 ordinary shares. No options can be granted after 17 January 2013.</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Share based payments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21 July 2008 the Company adopted the Employee Share Option Plan 2008 (the “2008 Employee Plan”) pursuant to which the Compensation and Organisation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Organisation Committee of the Company’s Board of Directors may grant options to any consultant, adviser or non-Executive director retained by the Company or any Subsidiary for the purchase of ordinary shares. Each option granted under the 2008 Employees Plan or the 2008 Consultants Plan (together the “2008 Option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Option Plan. No options may be granted under the plans after 21 July 2018.</w:t>
      </w:r>
    </w:p>
    <w:p>
      <w:pPr>
        <w:spacing w:after="0" w:line="204"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Share option awards are granted with an exercise price equal to the market price of the Company’s ordinary shares at date of grant. Share options typically vest over a period of five years from date of grant and expire eight years from date of grant.</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Set out below is a summary of the total number of options outstanding and number of options available to grant under each plan as at 31 December 2012:</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560" w:type="dxa"/>
            <w:vAlign w:val="bottom"/>
            <w:gridSpan w:val="2"/>
          </w:tcPr>
          <w:p>
            <w:pPr>
              <w:jc w:val="right"/>
              <w:ind w:right="912"/>
              <w:spacing w:after="0"/>
              <w:rPr>
                <w:sz w:val="20"/>
                <w:szCs w:val="20"/>
                <w:color w:val="auto"/>
              </w:rPr>
            </w:pPr>
            <w:r>
              <w:rPr>
                <w:rFonts w:ascii="Arial" w:cs="Arial" w:eastAsia="Arial" w:hAnsi="Arial"/>
                <w:sz w:val="18"/>
                <w:szCs w:val="18"/>
                <w:b w:val="1"/>
                <w:bCs w:val="1"/>
                <w:color w:val="auto"/>
              </w:rPr>
              <w:t>Outstanding</w:t>
            </w:r>
          </w:p>
        </w:tc>
        <w:tc>
          <w:tcPr>
            <w:tcW w:w="262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rPr>
              <w:t>Available to Grant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0" w:type="dxa"/>
            <w:vAlign w:val="bottom"/>
          </w:tcPr>
          <w:p>
            <w:pPr>
              <w:jc w:val="right"/>
              <w:ind w:right="132"/>
              <w:spacing w:after="0"/>
              <w:rPr>
                <w:sz w:val="20"/>
                <w:szCs w:val="20"/>
                <w:color w:val="auto"/>
              </w:rPr>
            </w:pPr>
            <w:r>
              <w:rPr>
                <w:rFonts w:ascii="Arial" w:cs="Arial" w:eastAsia="Arial" w:hAnsi="Arial"/>
                <w:sz w:val="18"/>
                <w:szCs w:val="18"/>
                <w:b w:val="1"/>
                <w:bCs w:val="1"/>
                <w:color w:val="auto"/>
              </w:rPr>
              <w:t>31 December</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31 December</w:t>
            </w:r>
          </w:p>
        </w:tc>
        <w:tc>
          <w:tcPr>
            <w:tcW w:w="1380" w:type="dxa"/>
            <w:vAlign w:val="bottom"/>
          </w:tcPr>
          <w:p>
            <w:pPr>
              <w:jc w:val="right"/>
              <w:ind w:right="112"/>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200" w:type="dxa"/>
            <w:vAlign w:val="bottom"/>
          </w:tcPr>
          <w:p>
            <w:pPr>
              <w:jc w:val="right"/>
              <w:ind w:right="132"/>
              <w:spacing w:after="0"/>
              <w:rPr>
                <w:sz w:val="20"/>
                <w:szCs w:val="20"/>
                <w:color w:val="auto"/>
              </w:rPr>
            </w:pPr>
            <w:r>
              <w:rPr>
                <w:rFonts w:ascii="Arial" w:cs="Arial" w:eastAsia="Arial" w:hAnsi="Arial"/>
                <w:sz w:val="18"/>
                <w:szCs w:val="18"/>
                <w:b w:val="1"/>
                <w:bCs w:val="1"/>
                <w:color w:val="auto"/>
              </w:rPr>
              <w:t>2012</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2011</w:t>
            </w:r>
          </w:p>
        </w:tc>
        <w:tc>
          <w:tcPr>
            <w:tcW w:w="138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1998</w:t>
            </w: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 Term Incentive Plan</w:t>
            </w:r>
          </w:p>
        </w:tc>
        <w:tc>
          <w:tcPr>
            <w:tcW w:w="32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331,490</w:t>
            </w: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462,950</w:t>
            </w:r>
          </w:p>
        </w:tc>
        <w:tc>
          <w:tcPr>
            <w:tcW w:w="13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2003</w:t>
            </w:r>
          </w:p>
        </w:tc>
        <w:tc>
          <w:tcPr>
            <w:tcW w:w="3840" w:type="dxa"/>
            <w:vAlign w:val="bottom"/>
          </w:tcPr>
          <w:p>
            <w:pPr>
              <w:spacing w:after="0"/>
              <w:rPr>
                <w:sz w:val="20"/>
                <w:szCs w:val="20"/>
                <w:color w:val="auto"/>
              </w:rPr>
            </w:pPr>
            <w:r>
              <w:rPr>
                <w:rFonts w:ascii="Arial" w:cs="Arial" w:eastAsia="Arial" w:hAnsi="Arial"/>
                <w:sz w:val="18"/>
                <w:szCs w:val="18"/>
                <w:color w:val="auto"/>
              </w:rPr>
              <w:t>Stock Option Plan</w:t>
            </w:r>
          </w:p>
        </w:tc>
        <w:tc>
          <w:tcPr>
            <w:tcW w:w="3200" w:type="dxa"/>
            <w:vAlign w:val="bottom"/>
          </w:tcPr>
          <w:p>
            <w:pPr>
              <w:jc w:val="right"/>
              <w:ind w:right="132"/>
              <w:spacing w:after="0"/>
              <w:rPr>
                <w:sz w:val="20"/>
                <w:szCs w:val="20"/>
                <w:color w:val="auto"/>
              </w:rPr>
            </w:pPr>
            <w:r>
              <w:rPr>
                <w:rFonts w:ascii="Arial" w:cs="Arial" w:eastAsia="Arial" w:hAnsi="Arial"/>
                <w:sz w:val="18"/>
                <w:szCs w:val="18"/>
                <w:b w:val="1"/>
                <w:bCs w:val="1"/>
                <w:color w:val="auto"/>
              </w:rPr>
              <w:t>2,390,757</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3,184,985</w:t>
            </w:r>
          </w:p>
        </w:tc>
        <w:tc>
          <w:tcPr>
            <w:tcW w:w="1380" w:type="dxa"/>
            <w:vAlign w:val="bottom"/>
          </w:tcPr>
          <w:p>
            <w:pPr>
              <w:jc w:val="right"/>
              <w:ind w:right="112"/>
              <w:spacing w:after="0"/>
              <w:rPr>
                <w:sz w:val="20"/>
                <w:szCs w:val="20"/>
                <w:color w:val="auto"/>
              </w:rPr>
            </w:pPr>
            <w:r>
              <w:rPr>
                <w:rFonts w:ascii="Arial" w:cs="Arial" w:eastAsia="Arial" w:hAnsi="Arial"/>
                <w:sz w:val="18"/>
                <w:szCs w:val="18"/>
                <w:b w:val="1"/>
                <w:bCs w:val="1"/>
                <w:color w:val="auto"/>
              </w:rPr>
              <w:t>457,930</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379,130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2008</w:t>
            </w:r>
          </w:p>
        </w:tc>
        <w:tc>
          <w:tcPr>
            <w:tcW w:w="3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Stock Option Plans</w:t>
            </w:r>
          </w:p>
        </w:tc>
        <w:tc>
          <w:tcPr>
            <w:tcW w:w="3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1,628,384</w:t>
            </w:r>
          </w:p>
        </w:tc>
        <w:tc>
          <w:tcPr>
            <w:tcW w:w="13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1,254,883</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4,304,174</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4,983,703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3"/>
              </w:rPr>
              <w:t>Total</w:t>
            </w:r>
          </w:p>
        </w:tc>
        <w:tc>
          <w:tcPr>
            <w:tcW w:w="3840" w:type="dxa"/>
            <w:vAlign w:val="bottom"/>
            <w:tcBorders>
              <w:bottom w:val="single" w:sz="8" w:color="auto"/>
            </w:tcBorders>
            <w:shd w:val="clear" w:color="auto" w:fill="CCEEFF"/>
          </w:tcPr>
          <w:p>
            <w:pPr>
              <w:spacing w:after="0"/>
              <w:rPr>
                <w:sz w:val="21"/>
                <w:szCs w:val="21"/>
                <w:color w:val="auto"/>
              </w:rPr>
            </w:pPr>
          </w:p>
        </w:tc>
        <w:tc>
          <w:tcPr>
            <w:tcW w:w="3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4,350,631</w:t>
            </w:r>
          </w:p>
        </w:tc>
        <w:tc>
          <w:tcPr>
            <w:tcW w:w="13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4,902,818</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4,762,104</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5,123,833</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1998 Long Term Incentive Plan expired on 14 January 2008 and no further options may be granted under this plan.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2003 Share Option Plan expired on 17 January 2013. No further options may be granted under this plan after this date.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10. Share based payments </w:t>
            </w:r>
            <w:r>
              <w:rPr>
                <w:rFonts w:ascii="Arial" w:cs="Arial" w:eastAsia="Arial" w:hAnsi="Arial"/>
                <w:sz w:val="18"/>
                <w:szCs w:val="18"/>
                <w:b w:val="1"/>
                <w:bCs w:val="1"/>
                <w:i w:val="1"/>
                <w:iCs w:val="1"/>
                <w:color w:val="auto"/>
              </w:rPr>
              <w:t>(continued)</w:t>
            </w:r>
          </w:p>
        </w:tc>
        <w:tc>
          <w:tcPr>
            <w:tcW w:w="2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7920" w:type="dxa"/>
            <w:vAlign w:val="bottom"/>
            <w:gridSpan w:val="2"/>
          </w:tcPr>
          <w:p>
            <w:pPr>
              <w:spacing w:after="0"/>
              <w:rPr>
                <w:sz w:val="20"/>
                <w:szCs w:val="20"/>
                <w:color w:val="auto"/>
              </w:rPr>
            </w:pPr>
            <w:r>
              <w:rPr>
                <w:rFonts w:ascii="Arial" w:cs="Arial" w:eastAsia="Arial" w:hAnsi="Arial"/>
                <w:sz w:val="18"/>
                <w:szCs w:val="18"/>
                <w:color w:val="auto"/>
              </w:rPr>
              <w:t>The total number of share options outstanding and exercisable at 31 December 2012 is as follows:</w:t>
            </w:r>
          </w:p>
        </w:tc>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100" w:type="dxa"/>
            <w:vAlign w:val="bottom"/>
          </w:tcPr>
          <w:p>
            <w:pPr>
              <w:jc w:val="right"/>
              <w:ind w:right="212"/>
              <w:spacing w:after="0"/>
              <w:rPr>
                <w:sz w:val="20"/>
                <w:szCs w:val="20"/>
                <w:color w:val="auto"/>
              </w:rPr>
            </w:pPr>
            <w:r>
              <w:rPr>
                <w:rFonts w:ascii="Arial" w:cs="Arial" w:eastAsia="Arial" w:hAnsi="Arial"/>
                <w:sz w:val="18"/>
                <w:szCs w:val="18"/>
                <w:b w:val="1"/>
                <w:bCs w:val="1"/>
                <w:color w:val="auto"/>
              </w:rPr>
              <w:t>Number of</w:t>
            </w:r>
          </w:p>
        </w:tc>
        <w:tc>
          <w:tcPr>
            <w:tcW w:w="1400" w:type="dxa"/>
            <w:vAlign w:val="bottom"/>
          </w:tcPr>
          <w:p>
            <w:pPr>
              <w:jc w:val="right"/>
              <w:ind w:right="12"/>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2100" w:type="dxa"/>
            <w:vAlign w:val="bottom"/>
          </w:tcPr>
          <w:p>
            <w:pPr>
              <w:jc w:val="right"/>
              <w:ind w:right="212"/>
              <w:spacing w:after="0"/>
              <w:rPr>
                <w:sz w:val="20"/>
                <w:szCs w:val="20"/>
                <w:color w:val="auto"/>
              </w:rPr>
            </w:pPr>
            <w:r>
              <w:rPr>
                <w:rFonts w:ascii="Arial" w:cs="Arial" w:eastAsia="Arial" w:hAnsi="Arial"/>
                <w:sz w:val="18"/>
                <w:szCs w:val="18"/>
                <w:b w:val="1"/>
                <w:bCs w:val="1"/>
                <w:color w:val="auto"/>
              </w:rPr>
              <w:t>Options</w:t>
            </w:r>
          </w:p>
        </w:tc>
        <w:tc>
          <w:tcPr>
            <w:tcW w:w="1400" w:type="dxa"/>
            <w:vAlign w:val="bottom"/>
          </w:tcPr>
          <w:p>
            <w:pPr>
              <w:jc w:val="right"/>
              <w:ind w:right="12"/>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425"/>
        </w:trPr>
        <w:tc>
          <w:tcPr>
            <w:tcW w:w="20" w:type="dxa"/>
            <w:vAlign w:val="bottom"/>
            <w:vMerge w:val="restart"/>
          </w:tcPr>
          <w:p>
            <w:pPr>
              <w:spacing w:after="0"/>
              <w:rPr>
                <w:sz w:val="24"/>
                <w:szCs w:val="24"/>
                <w:color w:val="auto"/>
              </w:rPr>
            </w:pPr>
          </w:p>
        </w:tc>
        <w:tc>
          <w:tcPr>
            <w:tcW w:w="7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7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31 December 2010</w:t>
            </w:r>
          </w:p>
        </w:tc>
        <w:tc>
          <w:tcPr>
            <w:tcW w:w="21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4,798,677</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989,449</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Exercised</w:t>
            </w:r>
          </w:p>
        </w:tc>
        <w:tc>
          <w:tcPr>
            <w:tcW w:w="2100" w:type="dxa"/>
            <w:vAlign w:val="bottom"/>
          </w:tcPr>
          <w:p>
            <w:pPr>
              <w:jc w:val="right"/>
              <w:ind w:right="152"/>
              <w:spacing w:after="0"/>
              <w:rPr>
                <w:sz w:val="20"/>
                <w:szCs w:val="20"/>
                <w:color w:val="auto"/>
              </w:rPr>
            </w:pPr>
            <w:r>
              <w:rPr>
                <w:rFonts w:ascii="Arial" w:cs="Arial" w:eastAsia="Arial" w:hAnsi="Arial"/>
                <w:sz w:val="18"/>
                <w:szCs w:val="18"/>
                <w:color w:val="auto"/>
              </w:rPr>
              <w:t>(430,340)</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21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(454,968)</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7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31 December 2011</w:t>
            </w:r>
          </w:p>
        </w:tc>
        <w:tc>
          <w:tcPr>
            <w:tcW w:w="21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4,902,818</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842,273</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Exercised</w:t>
            </w:r>
          </w:p>
        </w:tc>
        <w:tc>
          <w:tcPr>
            <w:tcW w:w="2100" w:type="dxa"/>
            <w:vAlign w:val="bottom"/>
          </w:tcPr>
          <w:p>
            <w:pPr>
              <w:jc w:val="right"/>
              <w:ind w:right="152"/>
              <w:spacing w:after="0"/>
              <w:rPr>
                <w:sz w:val="20"/>
                <w:szCs w:val="20"/>
                <w:color w:val="auto"/>
              </w:rPr>
            </w:pPr>
            <w:r>
              <w:rPr>
                <w:rFonts w:ascii="Arial" w:cs="Arial" w:eastAsia="Arial" w:hAnsi="Arial"/>
                <w:sz w:val="18"/>
                <w:szCs w:val="18"/>
                <w:color w:val="auto"/>
              </w:rPr>
              <w:t>(890,236)</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21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(504,224)</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7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31 December 2012</w:t>
            </w:r>
          </w:p>
        </w:tc>
        <w:tc>
          <w:tcPr>
            <w:tcW w:w="21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4,350,631</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$23.01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9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7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Exercisable at 31 December 2012</w:t>
            </w:r>
          </w:p>
        </w:tc>
        <w:tc>
          <w:tcPr>
            <w:tcW w:w="21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2,256,098</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$23.54</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500"/>
        <w:spacing w:after="0" w:line="265" w:lineRule="auto"/>
        <w:rPr>
          <w:sz w:val="20"/>
          <w:szCs w:val="20"/>
          <w:color w:val="auto"/>
        </w:rPr>
      </w:pPr>
      <w:r>
        <w:rPr>
          <w:rFonts w:ascii="Arial" w:cs="Arial" w:eastAsia="Arial" w:hAnsi="Arial"/>
          <w:sz w:val="18"/>
          <w:szCs w:val="18"/>
          <w:color w:val="auto"/>
        </w:rPr>
        <w:t>The weighted average market price of the Company’s shares on date of exercise of share options during the year ended 31 December 2012 was $24.70 (31 December 2011: $18.88).</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Share based payments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At 31 December 2012, the range of exercise prices and weighted average remaining contractual life of outstanding and exercisable options was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40" w:type="dxa"/>
            <w:vAlign w:val="bottom"/>
          </w:tcPr>
          <w:p>
            <w:pPr>
              <w:spacing w:after="0"/>
              <w:rPr>
                <w:sz w:val="18"/>
                <w:szCs w:val="18"/>
                <w:color w:val="auto"/>
              </w:rPr>
            </w:pPr>
          </w:p>
        </w:tc>
        <w:tc>
          <w:tcPr>
            <w:tcW w:w="3380" w:type="dxa"/>
            <w:vAlign w:val="bottom"/>
            <w:gridSpan w:val="2"/>
          </w:tcPr>
          <w:p>
            <w:pPr>
              <w:jc w:val="right"/>
              <w:ind w:right="972"/>
              <w:spacing w:after="0"/>
              <w:rPr>
                <w:sz w:val="20"/>
                <w:szCs w:val="20"/>
                <w:color w:val="auto"/>
              </w:rPr>
            </w:pPr>
            <w:r>
              <w:rPr>
                <w:rFonts w:ascii="Arial" w:cs="Arial" w:eastAsia="Arial" w:hAnsi="Arial"/>
                <w:sz w:val="18"/>
                <w:szCs w:val="18"/>
                <w:b w:val="1"/>
                <w:bCs w:val="1"/>
                <w:color w:val="auto"/>
              </w:rPr>
              <w:t>Options Outstanding</w:t>
            </w:r>
          </w:p>
        </w:tc>
        <w:tc>
          <w:tcPr>
            <w:tcW w:w="2380" w:type="dxa"/>
            <w:vAlign w:val="bottom"/>
          </w:tcPr>
          <w:p>
            <w:pPr>
              <w:spacing w:after="0"/>
              <w:rPr>
                <w:sz w:val="18"/>
                <w:szCs w:val="18"/>
                <w:color w:val="auto"/>
              </w:rPr>
            </w:pPr>
          </w:p>
        </w:tc>
        <w:tc>
          <w:tcPr>
            <w:tcW w:w="3520" w:type="dxa"/>
            <w:vAlign w:val="bottom"/>
            <w:gridSpan w:val="2"/>
          </w:tcPr>
          <w:p>
            <w:pPr>
              <w:jc w:val="right"/>
              <w:ind w:right="1132"/>
              <w:spacing w:after="0"/>
              <w:rPr>
                <w:sz w:val="20"/>
                <w:szCs w:val="20"/>
                <w:color w:val="auto"/>
              </w:rPr>
            </w:pPr>
            <w:r>
              <w:rPr>
                <w:rFonts w:ascii="Arial" w:cs="Arial" w:eastAsia="Arial" w:hAnsi="Arial"/>
                <w:sz w:val="18"/>
                <w:szCs w:val="18"/>
                <w:b w:val="1"/>
                <w:bCs w:val="1"/>
                <w:color w:val="auto"/>
              </w:rPr>
              <w:t>Options Exercisable</w:t>
            </w:r>
          </w:p>
        </w:tc>
      </w:tr>
      <w:tr>
        <w:trPr>
          <w:trHeight w:val="212"/>
        </w:trPr>
        <w:tc>
          <w:tcPr>
            <w:tcW w:w="2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b w:val="1"/>
                <w:bCs w:val="1"/>
                <w:color w:val="auto"/>
              </w:rPr>
              <w:t>Weighted</w:t>
            </w:r>
          </w:p>
        </w:tc>
        <w:tc>
          <w:tcPr>
            <w:tcW w:w="2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2"/>
        </w:trPr>
        <w:tc>
          <w:tcPr>
            <w:tcW w:w="2140" w:type="dxa"/>
            <w:vAlign w:val="bottom"/>
          </w:tcPr>
          <w:p>
            <w:pPr>
              <w:jc w:val="right"/>
              <w:ind w:right="432"/>
              <w:spacing w:after="0"/>
              <w:rPr>
                <w:sz w:val="20"/>
                <w:szCs w:val="20"/>
                <w:color w:val="auto"/>
              </w:rPr>
            </w:pPr>
            <w:r>
              <w:rPr>
                <w:rFonts w:ascii="Arial" w:cs="Arial" w:eastAsia="Arial" w:hAnsi="Arial"/>
                <w:sz w:val="18"/>
                <w:szCs w:val="18"/>
                <w:b w:val="1"/>
                <w:bCs w:val="1"/>
                <w:color w:val="auto"/>
              </w:rPr>
              <w:t>Range</w:t>
            </w:r>
          </w:p>
        </w:tc>
        <w:tc>
          <w:tcPr>
            <w:tcW w:w="1700" w:type="dxa"/>
            <w:vAlign w:val="bottom"/>
          </w:tcPr>
          <w:p>
            <w:pPr>
              <w:spacing w:after="0"/>
              <w:rPr>
                <w:sz w:val="18"/>
                <w:szCs w:val="18"/>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b w:val="1"/>
                <w:bCs w:val="1"/>
                <w:color w:val="auto"/>
              </w:rPr>
              <w:t>Average</w:t>
            </w:r>
          </w:p>
        </w:tc>
        <w:tc>
          <w:tcPr>
            <w:tcW w:w="2380" w:type="dxa"/>
            <w:vAlign w:val="bottom"/>
          </w:tcPr>
          <w:p>
            <w:pPr>
              <w:jc w:val="right"/>
              <w:ind w:right="472"/>
              <w:spacing w:after="0"/>
              <w:rPr>
                <w:sz w:val="20"/>
                <w:szCs w:val="20"/>
                <w:color w:val="auto"/>
              </w:rPr>
            </w:pPr>
            <w:r>
              <w:rPr>
                <w:rFonts w:ascii="Arial" w:cs="Arial" w:eastAsia="Arial" w:hAnsi="Arial"/>
                <w:sz w:val="18"/>
                <w:szCs w:val="18"/>
                <w:b w:val="1"/>
                <w:bCs w:val="1"/>
                <w:color w:val="auto"/>
              </w:rPr>
              <w:t>Weighted</w:t>
            </w:r>
          </w:p>
        </w:tc>
        <w:tc>
          <w:tcPr>
            <w:tcW w:w="1840" w:type="dxa"/>
            <w:vAlign w:val="bottom"/>
          </w:tcPr>
          <w:p>
            <w:pPr>
              <w:spacing w:after="0"/>
              <w:rPr>
                <w:sz w:val="18"/>
                <w:szCs w:val="18"/>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b w:val="1"/>
                <w:bCs w:val="1"/>
                <w:color w:val="auto"/>
              </w:rPr>
              <w:t>Weighted</w:t>
            </w:r>
          </w:p>
        </w:tc>
      </w:tr>
      <w:tr>
        <w:trPr>
          <w:trHeight w:val="212"/>
        </w:trPr>
        <w:tc>
          <w:tcPr>
            <w:tcW w:w="2140" w:type="dxa"/>
            <w:vAlign w:val="bottom"/>
          </w:tcPr>
          <w:p>
            <w:pPr>
              <w:jc w:val="right"/>
              <w:ind w:right="432"/>
              <w:spacing w:after="0"/>
              <w:rPr>
                <w:sz w:val="20"/>
                <w:szCs w:val="20"/>
                <w:color w:val="auto"/>
              </w:rPr>
            </w:pPr>
            <w:r>
              <w:rPr>
                <w:rFonts w:ascii="Arial" w:cs="Arial" w:eastAsia="Arial" w:hAnsi="Arial"/>
                <w:sz w:val="18"/>
                <w:szCs w:val="18"/>
                <w:b w:val="1"/>
                <w:bCs w:val="1"/>
                <w:color w:val="auto"/>
              </w:rPr>
              <w:t>Exercise</w:t>
            </w:r>
          </w:p>
        </w:tc>
        <w:tc>
          <w:tcPr>
            <w:tcW w:w="1700" w:type="dxa"/>
            <w:vAlign w:val="bottom"/>
          </w:tcPr>
          <w:p>
            <w:pPr>
              <w:jc w:val="right"/>
              <w:ind w:right="252"/>
              <w:spacing w:after="0"/>
              <w:rPr>
                <w:sz w:val="20"/>
                <w:szCs w:val="20"/>
                <w:color w:val="auto"/>
              </w:rPr>
            </w:pPr>
            <w:r>
              <w:rPr>
                <w:rFonts w:ascii="Arial" w:cs="Arial" w:eastAsia="Arial" w:hAnsi="Arial"/>
                <w:sz w:val="18"/>
                <w:szCs w:val="18"/>
                <w:b w:val="1"/>
                <w:bCs w:val="1"/>
                <w:color w:val="auto"/>
              </w:rPr>
              <w:t>Number of</w:t>
            </w:r>
          </w:p>
        </w:tc>
        <w:tc>
          <w:tcPr>
            <w:tcW w:w="1680" w:type="dxa"/>
            <w:vAlign w:val="bottom"/>
          </w:tcPr>
          <w:p>
            <w:pPr>
              <w:jc w:val="right"/>
              <w:ind w:right="12"/>
              <w:spacing w:after="0"/>
              <w:rPr>
                <w:sz w:val="20"/>
                <w:szCs w:val="20"/>
                <w:color w:val="auto"/>
              </w:rPr>
            </w:pPr>
            <w:r>
              <w:rPr>
                <w:rFonts w:ascii="Arial" w:cs="Arial" w:eastAsia="Arial" w:hAnsi="Arial"/>
                <w:sz w:val="18"/>
                <w:szCs w:val="18"/>
                <w:b w:val="1"/>
                <w:bCs w:val="1"/>
                <w:color w:val="auto"/>
              </w:rPr>
              <w:t>Remaining</w:t>
            </w:r>
          </w:p>
        </w:tc>
        <w:tc>
          <w:tcPr>
            <w:tcW w:w="2380" w:type="dxa"/>
            <w:vAlign w:val="bottom"/>
          </w:tcPr>
          <w:p>
            <w:pPr>
              <w:jc w:val="right"/>
              <w:ind w:right="472"/>
              <w:spacing w:after="0"/>
              <w:rPr>
                <w:sz w:val="20"/>
                <w:szCs w:val="20"/>
                <w:color w:val="auto"/>
              </w:rPr>
            </w:pPr>
            <w:r>
              <w:rPr>
                <w:rFonts w:ascii="Arial" w:cs="Arial" w:eastAsia="Arial" w:hAnsi="Arial"/>
                <w:sz w:val="18"/>
                <w:szCs w:val="18"/>
                <w:b w:val="1"/>
                <w:bCs w:val="1"/>
                <w:color w:val="auto"/>
              </w:rPr>
              <w:t>Average</w:t>
            </w:r>
          </w:p>
        </w:tc>
        <w:tc>
          <w:tcPr>
            <w:tcW w:w="1840" w:type="dxa"/>
            <w:vAlign w:val="bottom"/>
          </w:tcPr>
          <w:p>
            <w:pPr>
              <w:jc w:val="right"/>
              <w:ind w:right="372"/>
              <w:spacing w:after="0"/>
              <w:rPr>
                <w:sz w:val="20"/>
                <w:szCs w:val="20"/>
                <w:color w:val="auto"/>
              </w:rPr>
            </w:pPr>
            <w:r>
              <w:rPr>
                <w:rFonts w:ascii="Arial" w:cs="Arial" w:eastAsia="Arial" w:hAnsi="Arial"/>
                <w:sz w:val="18"/>
                <w:szCs w:val="18"/>
                <w:b w:val="1"/>
                <w:bCs w:val="1"/>
                <w:color w:val="auto"/>
              </w:rPr>
              <w:t>Number of</w:t>
            </w:r>
          </w:p>
        </w:tc>
        <w:tc>
          <w:tcPr>
            <w:tcW w:w="1680" w:type="dxa"/>
            <w:vAlign w:val="bottom"/>
          </w:tcPr>
          <w:p>
            <w:pPr>
              <w:jc w:val="right"/>
              <w:ind w:right="72"/>
              <w:spacing w:after="0"/>
              <w:rPr>
                <w:sz w:val="20"/>
                <w:szCs w:val="20"/>
                <w:color w:val="auto"/>
              </w:rPr>
            </w:pPr>
            <w:r>
              <w:rPr>
                <w:rFonts w:ascii="Arial" w:cs="Arial" w:eastAsia="Arial" w:hAnsi="Arial"/>
                <w:sz w:val="18"/>
                <w:szCs w:val="18"/>
                <w:b w:val="1"/>
                <w:bCs w:val="1"/>
                <w:color w:val="auto"/>
              </w:rPr>
              <w:t>Average</w:t>
            </w:r>
          </w:p>
        </w:tc>
      </w:tr>
      <w:tr>
        <w:trPr>
          <w:trHeight w:val="230"/>
        </w:trPr>
        <w:tc>
          <w:tcPr>
            <w:tcW w:w="2140" w:type="dxa"/>
            <w:vAlign w:val="bottom"/>
          </w:tcPr>
          <w:p>
            <w:pPr>
              <w:jc w:val="right"/>
              <w:ind w:right="432"/>
              <w:spacing w:after="0"/>
              <w:rPr>
                <w:sz w:val="20"/>
                <w:szCs w:val="20"/>
                <w:color w:val="auto"/>
              </w:rPr>
            </w:pPr>
            <w:r>
              <w:rPr>
                <w:rFonts w:ascii="Arial" w:cs="Arial" w:eastAsia="Arial" w:hAnsi="Arial"/>
                <w:sz w:val="18"/>
                <w:szCs w:val="18"/>
                <w:b w:val="1"/>
                <w:bCs w:val="1"/>
                <w:color w:val="auto"/>
              </w:rPr>
              <w:t>Price</w:t>
            </w:r>
          </w:p>
        </w:tc>
        <w:tc>
          <w:tcPr>
            <w:tcW w:w="1700" w:type="dxa"/>
            <w:vAlign w:val="bottom"/>
          </w:tcPr>
          <w:p>
            <w:pPr>
              <w:jc w:val="right"/>
              <w:ind w:right="252"/>
              <w:spacing w:after="0"/>
              <w:rPr>
                <w:sz w:val="20"/>
                <w:szCs w:val="20"/>
                <w:color w:val="auto"/>
              </w:rPr>
            </w:pPr>
            <w:r>
              <w:rPr>
                <w:rFonts w:ascii="Arial" w:cs="Arial" w:eastAsia="Arial" w:hAnsi="Arial"/>
                <w:sz w:val="18"/>
                <w:szCs w:val="18"/>
                <w:b w:val="1"/>
                <w:bCs w:val="1"/>
                <w:color w:val="auto"/>
              </w:rPr>
              <w:t>Shares</w:t>
            </w:r>
          </w:p>
        </w:tc>
        <w:tc>
          <w:tcPr>
            <w:tcW w:w="1680" w:type="dxa"/>
            <w:vAlign w:val="bottom"/>
          </w:tcPr>
          <w:p>
            <w:pPr>
              <w:jc w:val="right"/>
              <w:ind w:right="12"/>
              <w:spacing w:after="0"/>
              <w:rPr>
                <w:sz w:val="20"/>
                <w:szCs w:val="20"/>
                <w:color w:val="auto"/>
              </w:rPr>
            </w:pPr>
            <w:r>
              <w:rPr>
                <w:rFonts w:ascii="Arial" w:cs="Arial" w:eastAsia="Arial" w:hAnsi="Arial"/>
                <w:sz w:val="18"/>
                <w:szCs w:val="18"/>
                <w:b w:val="1"/>
                <w:bCs w:val="1"/>
                <w:color w:val="auto"/>
              </w:rPr>
              <w:t>Contractual Life</w:t>
            </w:r>
          </w:p>
        </w:tc>
        <w:tc>
          <w:tcPr>
            <w:tcW w:w="2380" w:type="dxa"/>
            <w:vAlign w:val="bottom"/>
          </w:tcPr>
          <w:p>
            <w:pPr>
              <w:jc w:val="right"/>
              <w:ind w:right="472"/>
              <w:spacing w:after="0"/>
              <w:rPr>
                <w:sz w:val="20"/>
                <w:szCs w:val="20"/>
                <w:color w:val="auto"/>
              </w:rPr>
            </w:pPr>
            <w:r>
              <w:rPr>
                <w:rFonts w:ascii="Arial" w:cs="Arial" w:eastAsia="Arial" w:hAnsi="Arial"/>
                <w:sz w:val="18"/>
                <w:szCs w:val="18"/>
                <w:b w:val="1"/>
                <w:bCs w:val="1"/>
                <w:color w:val="auto"/>
              </w:rPr>
              <w:t>Exercise Price</w:t>
            </w:r>
          </w:p>
        </w:tc>
        <w:tc>
          <w:tcPr>
            <w:tcW w:w="1840" w:type="dxa"/>
            <w:vAlign w:val="bottom"/>
          </w:tcPr>
          <w:p>
            <w:pPr>
              <w:jc w:val="right"/>
              <w:ind w:right="372"/>
              <w:spacing w:after="0"/>
              <w:rPr>
                <w:sz w:val="20"/>
                <w:szCs w:val="20"/>
                <w:color w:val="auto"/>
              </w:rPr>
            </w:pPr>
            <w:r>
              <w:rPr>
                <w:rFonts w:ascii="Arial" w:cs="Arial" w:eastAsia="Arial" w:hAnsi="Arial"/>
                <w:sz w:val="18"/>
                <w:szCs w:val="18"/>
                <w:b w:val="1"/>
                <w:bCs w:val="1"/>
                <w:color w:val="auto"/>
              </w:rPr>
              <w:t>Shares</w:t>
            </w:r>
          </w:p>
        </w:tc>
        <w:tc>
          <w:tcPr>
            <w:tcW w:w="1680" w:type="dxa"/>
            <w:vAlign w:val="bottom"/>
          </w:tcPr>
          <w:p>
            <w:pPr>
              <w:jc w:val="right"/>
              <w:ind w:right="72"/>
              <w:spacing w:after="0"/>
              <w:rPr>
                <w:sz w:val="20"/>
                <w:szCs w:val="20"/>
                <w:color w:val="auto"/>
              </w:rPr>
            </w:pPr>
            <w:r>
              <w:rPr>
                <w:rFonts w:ascii="Arial" w:cs="Arial" w:eastAsia="Arial" w:hAnsi="Arial"/>
                <w:sz w:val="18"/>
                <w:szCs w:val="18"/>
                <w:b w:val="1"/>
                <w:bCs w:val="1"/>
                <w:color w:val="auto"/>
              </w:rPr>
              <w:t>Exercise Price</w:t>
            </w:r>
          </w:p>
        </w:tc>
      </w:tr>
      <w:tr>
        <w:trPr>
          <w:trHeight w:val="213"/>
        </w:trPr>
        <w:tc>
          <w:tcPr>
            <w:tcW w:w="21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$8.60</w:t>
            </w:r>
          </w:p>
        </w:tc>
        <w:tc>
          <w:tcPr>
            <w:tcW w:w="17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12,940</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0.13</w:t>
            </w:r>
          </w:p>
        </w:tc>
        <w:tc>
          <w:tcPr>
            <w:tcW w:w="23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$8.60</w:t>
            </w:r>
          </w:p>
        </w:tc>
        <w:tc>
          <w:tcPr>
            <w:tcW w:w="18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12,940</w:t>
            </w: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$8.60</w:t>
            </w:r>
          </w:p>
        </w:tc>
      </w:tr>
      <w:tr>
        <w:trPr>
          <w:trHeight w:val="212"/>
        </w:trPr>
        <w:tc>
          <w:tcPr>
            <w:tcW w:w="2140" w:type="dxa"/>
            <w:vAlign w:val="bottom"/>
          </w:tcPr>
          <w:p>
            <w:pPr>
              <w:jc w:val="right"/>
              <w:ind w:right="432"/>
              <w:spacing w:after="0"/>
              <w:rPr>
                <w:sz w:val="20"/>
                <w:szCs w:val="20"/>
                <w:color w:val="auto"/>
              </w:rPr>
            </w:pPr>
            <w:r>
              <w:rPr>
                <w:rFonts w:ascii="Arial" w:cs="Arial" w:eastAsia="Arial" w:hAnsi="Arial"/>
                <w:sz w:val="18"/>
                <w:szCs w:val="18"/>
                <w:color w:val="auto"/>
              </w:rPr>
              <w:t>$10.42</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20,000</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2380" w:type="dxa"/>
            <w:vAlign w:val="bottom"/>
          </w:tcPr>
          <w:p>
            <w:pPr>
              <w:jc w:val="right"/>
              <w:ind w:right="472"/>
              <w:spacing w:after="0"/>
              <w:rPr>
                <w:sz w:val="20"/>
                <w:szCs w:val="20"/>
                <w:color w:val="auto"/>
              </w:rPr>
            </w:pPr>
            <w:r>
              <w:rPr>
                <w:rFonts w:ascii="Arial" w:cs="Arial" w:eastAsia="Arial" w:hAnsi="Arial"/>
                <w:sz w:val="18"/>
                <w:szCs w:val="18"/>
                <w:color w:val="auto"/>
              </w:rPr>
              <w:t>$10.42</w:t>
            </w:r>
          </w:p>
        </w:tc>
        <w:tc>
          <w:tcPr>
            <w:tcW w:w="1840" w:type="dxa"/>
            <w:vAlign w:val="bottom"/>
          </w:tcPr>
          <w:p>
            <w:pPr>
              <w:jc w:val="right"/>
              <w:ind w:right="372"/>
              <w:spacing w:after="0"/>
              <w:rPr>
                <w:sz w:val="20"/>
                <w:szCs w:val="20"/>
                <w:color w:val="auto"/>
              </w:rPr>
            </w:pPr>
            <w:r>
              <w:rPr>
                <w:rFonts w:ascii="Arial" w:cs="Arial" w:eastAsia="Arial" w:hAnsi="Arial"/>
                <w:sz w:val="18"/>
                <w:szCs w:val="18"/>
                <w:color w:val="auto"/>
              </w:rPr>
              <w:t>20,000</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$10.42</w:t>
            </w:r>
          </w:p>
        </w:tc>
      </w:tr>
      <w:tr>
        <w:trPr>
          <w:trHeight w:val="212"/>
        </w:trPr>
        <w:tc>
          <w:tcPr>
            <w:tcW w:w="21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$11.00</w:t>
            </w:r>
          </w:p>
        </w:tc>
        <w:tc>
          <w:tcPr>
            <w:tcW w:w="17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274,767</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23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$11.00</w:t>
            </w:r>
          </w:p>
        </w:tc>
        <w:tc>
          <w:tcPr>
            <w:tcW w:w="18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274,767</w:t>
            </w: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$11.00</w:t>
            </w:r>
          </w:p>
        </w:tc>
      </w:tr>
      <w:tr>
        <w:trPr>
          <w:trHeight w:val="212"/>
        </w:trPr>
        <w:tc>
          <w:tcPr>
            <w:tcW w:w="2140" w:type="dxa"/>
            <w:vAlign w:val="bottom"/>
          </w:tcPr>
          <w:p>
            <w:pPr>
              <w:jc w:val="right"/>
              <w:ind w:right="432"/>
              <w:spacing w:after="0"/>
              <w:rPr>
                <w:sz w:val="20"/>
                <w:szCs w:val="20"/>
                <w:color w:val="auto"/>
              </w:rPr>
            </w:pPr>
            <w:r>
              <w:rPr>
                <w:rFonts w:ascii="Arial" w:cs="Arial" w:eastAsia="Arial" w:hAnsi="Arial"/>
                <w:sz w:val="18"/>
                <w:szCs w:val="18"/>
                <w:color w:val="auto"/>
              </w:rPr>
              <w:t>$15.47</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630</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4.33</w:t>
            </w:r>
          </w:p>
        </w:tc>
        <w:tc>
          <w:tcPr>
            <w:tcW w:w="2380" w:type="dxa"/>
            <w:vAlign w:val="bottom"/>
          </w:tcPr>
          <w:p>
            <w:pPr>
              <w:jc w:val="right"/>
              <w:ind w:right="472"/>
              <w:spacing w:after="0"/>
              <w:rPr>
                <w:sz w:val="20"/>
                <w:szCs w:val="20"/>
                <w:color w:val="auto"/>
              </w:rPr>
            </w:pPr>
            <w:r>
              <w:rPr>
                <w:rFonts w:ascii="Arial" w:cs="Arial" w:eastAsia="Arial" w:hAnsi="Arial"/>
                <w:sz w:val="18"/>
                <w:szCs w:val="18"/>
                <w:color w:val="auto"/>
              </w:rPr>
              <w:t>$15.47</w:t>
            </w:r>
          </w:p>
        </w:tc>
        <w:tc>
          <w:tcPr>
            <w:tcW w:w="1840" w:type="dxa"/>
            <w:vAlign w:val="bottom"/>
          </w:tcPr>
          <w:p>
            <w:pPr>
              <w:jc w:val="right"/>
              <w:ind w:right="372"/>
              <w:spacing w:after="0"/>
              <w:rPr>
                <w:sz w:val="20"/>
                <w:szCs w:val="20"/>
                <w:color w:val="auto"/>
              </w:rPr>
            </w:pPr>
            <w:r>
              <w:rPr>
                <w:rFonts w:ascii="Arial" w:cs="Arial" w:eastAsia="Arial" w:hAnsi="Arial"/>
                <w:sz w:val="18"/>
                <w:szCs w:val="18"/>
                <w:color w:val="auto"/>
              </w:rPr>
              <w:t>270</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$15.47</w:t>
            </w:r>
          </w:p>
        </w:tc>
      </w:tr>
      <w:tr>
        <w:trPr>
          <w:trHeight w:val="212"/>
        </w:trPr>
        <w:tc>
          <w:tcPr>
            <w:tcW w:w="21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$15.84</w:t>
            </w:r>
          </w:p>
        </w:tc>
        <w:tc>
          <w:tcPr>
            <w:tcW w:w="17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103,000</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4.33</w:t>
            </w:r>
          </w:p>
        </w:tc>
        <w:tc>
          <w:tcPr>
            <w:tcW w:w="23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$15.84</w:t>
            </w:r>
          </w:p>
        </w:tc>
        <w:tc>
          <w:tcPr>
            <w:tcW w:w="18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81,800</w:t>
            </w: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$15.84</w:t>
            </w:r>
          </w:p>
        </w:tc>
      </w:tr>
      <w:tr>
        <w:trPr>
          <w:trHeight w:val="212"/>
        </w:trPr>
        <w:tc>
          <w:tcPr>
            <w:tcW w:w="2140" w:type="dxa"/>
            <w:vAlign w:val="bottom"/>
          </w:tcPr>
          <w:p>
            <w:pPr>
              <w:jc w:val="right"/>
              <w:ind w:right="432"/>
              <w:spacing w:after="0"/>
              <w:rPr>
                <w:sz w:val="20"/>
                <w:szCs w:val="20"/>
                <w:color w:val="auto"/>
              </w:rPr>
            </w:pPr>
            <w:r>
              <w:rPr>
                <w:rFonts w:ascii="Arial" w:cs="Arial" w:eastAsia="Arial" w:hAnsi="Arial"/>
                <w:sz w:val="18"/>
                <w:szCs w:val="18"/>
                <w:color w:val="auto"/>
              </w:rPr>
              <w:t>$16.80</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150,000</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6.83</w:t>
            </w:r>
          </w:p>
        </w:tc>
        <w:tc>
          <w:tcPr>
            <w:tcW w:w="2380" w:type="dxa"/>
            <w:vAlign w:val="bottom"/>
          </w:tcPr>
          <w:p>
            <w:pPr>
              <w:jc w:val="right"/>
              <w:ind w:right="472"/>
              <w:spacing w:after="0"/>
              <w:rPr>
                <w:sz w:val="20"/>
                <w:szCs w:val="20"/>
                <w:color w:val="auto"/>
              </w:rPr>
            </w:pPr>
            <w:r>
              <w:rPr>
                <w:rFonts w:ascii="Arial" w:cs="Arial" w:eastAsia="Arial" w:hAnsi="Arial"/>
                <w:sz w:val="18"/>
                <w:szCs w:val="18"/>
                <w:color w:val="auto"/>
              </w:rPr>
              <w:t>$16.80</w:t>
            </w:r>
          </w:p>
        </w:tc>
        <w:tc>
          <w:tcPr>
            <w:tcW w:w="1840" w:type="dxa"/>
            <w:vAlign w:val="bottom"/>
          </w:tcPr>
          <w:p>
            <w:pPr>
              <w:jc w:val="right"/>
              <w:ind w:right="372"/>
              <w:spacing w:after="0"/>
              <w:rPr>
                <w:sz w:val="20"/>
                <w:szCs w:val="20"/>
                <w:color w:val="auto"/>
              </w:rPr>
            </w:pPr>
            <w:r>
              <w:rPr>
                <w:rFonts w:ascii="Arial" w:cs="Arial" w:eastAsia="Arial" w:hAnsi="Arial"/>
                <w:sz w:val="18"/>
                <w:szCs w:val="18"/>
                <w:color w:val="auto"/>
              </w:rPr>
              <w:t>30,000</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$16.80</w:t>
            </w:r>
          </w:p>
        </w:tc>
      </w:tr>
      <w:tr>
        <w:trPr>
          <w:trHeight w:val="212"/>
        </w:trPr>
        <w:tc>
          <w:tcPr>
            <w:tcW w:w="21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$17.17</w:t>
            </w:r>
          </w:p>
        </w:tc>
        <w:tc>
          <w:tcPr>
            <w:tcW w:w="17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30,000</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6.85</w:t>
            </w:r>
          </w:p>
        </w:tc>
        <w:tc>
          <w:tcPr>
            <w:tcW w:w="23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$17.17</w:t>
            </w:r>
          </w:p>
        </w:tc>
        <w:tc>
          <w:tcPr>
            <w:tcW w:w="18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6,000</w:t>
            </w: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$17.17</w:t>
            </w:r>
          </w:p>
        </w:tc>
      </w:tr>
      <w:tr>
        <w:trPr>
          <w:trHeight w:val="212"/>
        </w:trPr>
        <w:tc>
          <w:tcPr>
            <w:tcW w:w="2140" w:type="dxa"/>
            <w:vAlign w:val="bottom"/>
          </w:tcPr>
          <w:p>
            <w:pPr>
              <w:jc w:val="right"/>
              <w:ind w:right="432"/>
              <w:spacing w:after="0"/>
              <w:rPr>
                <w:sz w:val="20"/>
                <w:szCs w:val="20"/>
                <w:color w:val="auto"/>
              </w:rPr>
            </w:pPr>
            <w:r>
              <w:rPr>
                <w:rFonts w:ascii="Arial" w:cs="Arial" w:eastAsia="Arial" w:hAnsi="Arial"/>
                <w:sz w:val="18"/>
                <w:szCs w:val="18"/>
                <w:color w:val="auto"/>
              </w:rPr>
              <w:t>$18.00</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58,000</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2380" w:type="dxa"/>
            <w:vAlign w:val="bottom"/>
          </w:tcPr>
          <w:p>
            <w:pPr>
              <w:jc w:val="right"/>
              <w:ind w:right="472"/>
              <w:spacing w:after="0"/>
              <w:rPr>
                <w:sz w:val="20"/>
                <w:szCs w:val="20"/>
                <w:color w:val="auto"/>
              </w:rPr>
            </w:pPr>
            <w:r>
              <w:rPr>
                <w:rFonts w:ascii="Arial" w:cs="Arial" w:eastAsia="Arial" w:hAnsi="Arial"/>
                <w:sz w:val="18"/>
                <w:szCs w:val="18"/>
                <w:color w:val="auto"/>
              </w:rPr>
              <w:t>$18.00</w:t>
            </w:r>
          </w:p>
        </w:tc>
        <w:tc>
          <w:tcPr>
            <w:tcW w:w="1840" w:type="dxa"/>
            <w:vAlign w:val="bottom"/>
          </w:tcPr>
          <w:p>
            <w:pPr>
              <w:jc w:val="right"/>
              <w:ind w:right="372"/>
              <w:spacing w:after="0"/>
              <w:rPr>
                <w:sz w:val="20"/>
                <w:szCs w:val="20"/>
                <w:color w:val="auto"/>
              </w:rPr>
            </w:pPr>
            <w:r>
              <w:rPr>
                <w:rFonts w:ascii="Arial" w:cs="Arial" w:eastAsia="Arial" w:hAnsi="Arial"/>
                <w:sz w:val="18"/>
                <w:szCs w:val="18"/>
                <w:color w:val="auto"/>
              </w:rPr>
              <w:t>58,000</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$18.00</w:t>
            </w:r>
          </w:p>
        </w:tc>
      </w:tr>
      <w:tr>
        <w:trPr>
          <w:trHeight w:val="212"/>
        </w:trPr>
        <w:tc>
          <w:tcPr>
            <w:tcW w:w="21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$18.98</w:t>
            </w:r>
          </w:p>
        </w:tc>
        <w:tc>
          <w:tcPr>
            <w:tcW w:w="17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9,000</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3.87</w:t>
            </w:r>
          </w:p>
        </w:tc>
        <w:tc>
          <w:tcPr>
            <w:tcW w:w="23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$18.98</w:t>
            </w:r>
          </w:p>
        </w:tc>
        <w:tc>
          <w:tcPr>
            <w:tcW w:w="18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7,200</w:t>
            </w: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$18.98</w:t>
            </w:r>
          </w:p>
        </w:tc>
      </w:tr>
      <w:tr>
        <w:trPr>
          <w:trHeight w:val="212"/>
        </w:trPr>
        <w:tc>
          <w:tcPr>
            <w:tcW w:w="2140" w:type="dxa"/>
            <w:vAlign w:val="bottom"/>
          </w:tcPr>
          <w:p>
            <w:pPr>
              <w:jc w:val="right"/>
              <w:ind w:right="432"/>
              <w:spacing w:after="0"/>
              <w:rPr>
                <w:sz w:val="20"/>
                <w:szCs w:val="20"/>
                <w:color w:val="auto"/>
              </w:rPr>
            </w:pPr>
            <w:r>
              <w:rPr>
                <w:rFonts w:ascii="Arial" w:cs="Arial" w:eastAsia="Arial" w:hAnsi="Arial"/>
                <w:sz w:val="18"/>
                <w:szCs w:val="18"/>
                <w:color w:val="auto"/>
              </w:rPr>
              <w:t>$19.45</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21,000</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5.82</w:t>
            </w:r>
          </w:p>
        </w:tc>
        <w:tc>
          <w:tcPr>
            <w:tcW w:w="2380" w:type="dxa"/>
            <w:vAlign w:val="bottom"/>
          </w:tcPr>
          <w:p>
            <w:pPr>
              <w:jc w:val="right"/>
              <w:ind w:right="472"/>
              <w:spacing w:after="0"/>
              <w:rPr>
                <w:sz w:val="20"/>
                <w:szCs w:val="20"/>
                <w:color w:val="auto"/>
              </w:rPr>
            </w:pPr>
            <w:r>
              <w:rPr>
                <w:rFonts w:ascii="Arial" w:cs="Arial" w:eastAsia="Arial" w:hAnsi="Arial"/>
                <w:sz w:val="18"/>
                <w:szCs w:val="18"/>
                <w:color w:val="auto"/>
              </w:rPr>
              <w:t>$19.45</w:t>
            </w:r>
          </w:p>
        </w:tc>
        <w:tc>
          <w:tcPr>
            <w:tcW w:w="1840" w:type="dxa"/>
            <w:vAlign w:val="bottom"/>
          </w:tcPr>
          <w:p>
            <w:pPr>
              <w:jc w:val="right"/>
              <w:ind w:right="372"/>
              <w:spacing w:after="0"/>
              <w:rPr>
                <w:sz w:val="20"/>
                <w:szCs w:val="20"/>
                <w:color w:val="auto"/>
              </w:rPr>
            </w:pPr>
            <w:r>
              <w:rPr>
                <w:rFonts w:ascii="Arial" w:cs="Arial" w:eastAsia="Arial" w:hAnsi="Arial"/>
                <w:sz w:val="18"/>
                <w:szCs w:val="18"/>
                <w:color w:val="auto"/>
              </w:rPr>
              <w:t>1,200</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$19.45</w:t>
            </w:r>
          </w:p>
        </w:tc>
      </w:tr>
      <w:tr>
        <w:trPr>
          <w:trHeight w:val="212"/>
        </w:trPr>
        <w:tc>
          <w:tcPr>
            <w:tcW w:w="21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$20.16</w:t>
            </w:r>
          </w:p>
        </w:tc>
        <w:tc>
          <w:tcPr>
            <w:tcW w:w="17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2,000</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5.87</w:t>
            </w:r>
          </w:p>
        </w:tc>
        <w:tc>
          <w:tcPr>
            <w:tcW w:w="23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$20.16</w:t>
            </w:r>
          </w:p>
        </w:tc>
        <w:tc>
          <w:tcPr>
            <w:tcW w:w="18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800</w:t>
            </w: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$20.16</w:t>
            </w:r>
          </w:p>
        </w:tc>
      </w:tr>
      <w:tr>
        <w:trPr>
          <w:trHeight w:val="212"/>
        </w:trPr>
        <w:tc>
          <w:tcPr>
            <w:tcW w:w="2140" w:type="dxa"/>
            <w:vAlign w:val="bottom"/>
          </w:tcPr>
          <w:p>
            <w:pPr>
              <w:jc w:val="right"/>
              <w:ind w:right="432"/>
              <w:spacing w:after="0"/>
              <w:rPr>
                <w:sz w:val="20"/>
                <w:szCs w:val="20"/>
                <w:color w:val="auto"/>
              </w:rPr>
            </w:pPr>
            <w:r>
              <w:rPr>
                <w:rFonts w:ascii="Arial" w:cs="Arial" w:eastAsia="Arial" w:hAnsi="Arial"/>
                <w:sz w:val="18"/>
                <w:szCs w:val="18"/>
                <w:color w:val="auto"/>
              </w:rPr>
              <w:t>$20.28</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600,547</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6.17</w:t>
            </w:r>
          </w:p>
        </w:tc>
        <w:tc>
          <w:tcPr>
            <w:tcW w:w="2380" w:type="dxa"/>
            <w:vAlign w:val="bottom"/>
          </w:tcPr>
          <w:p>
            <w:pPr>
              <w:jc w:val="right"/>
              <w:ind w:right="472"/>
              <w:spacing w:after="0"/>
              <w:rPr>
                <w:sz w:val="20"/>
                <w:szCs w:val="20"/>
                <w:color w:val="auto"/>
              </w:rPr>
            </w:pPr>
            <w:r>
              <w:rPr>
                <w:rFonts w:ascii="Arial" w:cs="Arial" w:eastAsia="Arial" w:hAnsi="Arial"/>
                <w:sz w:val="18"/>
                <w:szCs w:val="18"/>
                <w:color w:val="auto"/>
              </w:rPr>
              <w:t>$20.28</w:t>
            </w:r>
          </w:p>
        </w:tc>
        <w:tc>
          <w:tcPr>
            <w:tcW w:w="1840" w:type="dxa"/>
            <w:vAlign w:val="bottom"/>
          </w:tcPr>
          <w:p>
            <w:pPr>
              <w:jc w:val="right"/>
              <w:ind w:right="372"/>
              <w:spacing w:after="0"/>
              <w:rPr>
                <w:sz w:val="20"/>
                <w:szCs w:val="20"/>
                <w:color w:val="auto"/>
              </w:rPr>
            </w:pPr>
            <w:r>
              <w:rPr>
                <w:rFonts w:ascii="Arial" w:cs="Arial" w:eastAsia="Arial" w:hAnsi="Arial"/>
                <w:sz w:val="18"/>
                <w:szCs w:val="18"/>
                <w:color w:val="auto"/>
              </w:rPr>
              <w:t>149,058</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$20.28</w:t>
            </w:r>
          </w:p>
        </w:tc>
      </w:tr>
      <w:tr>
        <w:trPr>
          <w:trHeight w:val="212"/>
        </w:trPr>
        <w:tc>
          <w:tcPr>
            <w:tcW w:w="21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$20.59</w:t>
            </w:r>
          </w:p>
        </w:tc>
        <w:tc>
          <w:tcPr>
            <w:tcW w:w="17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185,000</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7.14</w:t>
            </w:r>
          </w:p>
        </w:tc>
        <w:tc>
          <w:tcPr>
            <w:tcW w:w="23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$20.59</w:t>
            </w:r>
          </w:p>
        </w:tc>
        <w:tc>
          <w:tcPr>
            <w:tcW w:w="18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$20.59</w:t>
            </w:r>
          </w:p>
        </w:tc>
      </w:tr>
      <w:tr>
        <w:trPr>
          <w:trHeight w:val="212"/>
        </w:trPr>
        <w:tc>
          <w:tcPr>
            <w:tcW w:w="2140" w:type="dxa"/>
            <w:vAlign w:val="bottom"/>
          </w:tcPr>
          <w:p>
            <w:pPr>
              <w:jc w:val="right"/>
              <w:ind w:right="432"/>
              <w:spacing w:after="0"/>
              <w:rPr>
                <w:sz w:val="20"/>
                <w:szCs w:val="20"/>
                <w:color w:val="auto"/>
              </w:rPr>
            </w:pPr>
            <w:r>
              <w:rPr>
                <w:rFonts w:ascii="Arial" w:cs="Arial" w:eastAsia="Arial" w:hAnsi="Arial"/>
                <w:sz w:val="18"/>
                <w:szCs w:val="18"/>
                <w:color w:val="auto"/>
              </w:rPr>
              <w:t>$21.25</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462,831</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2.12</w:t>
            </w:r>
          </w:p>
        </w:tc>
        <w:tc>
          <w:tcPr>
            <w:tcW w:w="2380" w:type="dxa"/>
            <w:vAlign w:val="bottom"/>
          </w:tcPr>
          <w:p>
            <w:pPr>
              <w:jc w:val="right"/>
              <w:ind w:right="472"/>
              <w:spacing w:after="0"/>
              <w:rPr>
                <w:sz w:val="20"/>
                <w:szCs w:val="20"/>
                <w:color w:val="auto"/>
              </w:rPr>
            </w:pPr>
            <w:r>
              <w:rPr>
                <w:rFonts w:ascii="Arial" w:cs="Arial" w:eastAsia="Arial" w:hAnsi="Arial"/>
                <w:sz w:val="18"/>
                <w:szCs w:val="18"/>
                <w:color w:val="auto"/>
              </w:rPr>
              <w:t>$21.25</w:t>
            </w:r>
          </w:p>
        </w:tc>
        <w:tc>
          <w:tcPr>
            <w:tcW w:w="1840" w:type="dxa"/>
            <w:vAlign w:val="bottom"/>
          </w:tcPr>
          <w:p>
            <w:pPr>
              <w:jc w:val="right"/>
              <w:ind w:right="372"/>
              <w:spacing w:after="0"/>
              <w:rPr>
                <w:sz w:val="20"/>
                <w:szCs w:val="20"/>
                <w:color w:val="auto"/>
              </w:rPr>
            </w:pPr>
            <w:r>
              <w:rPr>
                <w:rFonts w:ascii="Arial" w:cs="Arial" w:eastAsia="Arial" w:hAnsi="Arial"/>
                <w:sz w:val="18"/>
                <w:szCs w:val="18"/>
                <w:color w:val="auto"/>
              </w:rPr>
              <w:t>462,831</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$21.25</w:t>
            </w:r>
          </w:p>
        </w:tc>
      </w:tr>
      <w:tr>
        <w:trPr>
          <w:trHeight w:val="212"/>
        </w:trPr>
        <w:tc>
          <w:tcPr>
            <w:tcW w:w="21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$21.76</w:t>
            </w:r>
          </w:p>
        </w:tc>
        <w:tc>
          <w:tcPr>
            <w:tcW w:w="17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1,000</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c>
          <w:tcPr>
            <w:tcW w:w="23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$21.76</w:t>
            </w:r>
          </w:p>
        </w:tc>
        <w:tc>
          <w:tcPr>
            <w:tcW w:w="18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1,000</w:t>
            </w: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$21.76</w:t>
            </w:r>
          </w:p>
        </w:tc>
      </w:tr>
      <w:tr>
        <w:trPr>
          <w:trHeight w:val="212"/>
        </w:trPr>
        <w:tc>
          <w:tcPr>
            <w:tcW w:w="2140" w:type="dxa"/>
            <w:vAlign w:val="bottom"/>
          </w:tcPr>
          <w:p>
            <w:pPr>
              <w:jc w:val="right"/>
              <w:ind w:right="432"/>
              <w:spacing w:after="0"/>
              <w:rPr>
                <w:sz w:val="20"/>
                <w:szCs w:val="20"/>
                <w:color w:val="auto"/>
              </w:rPr>
            </w:pPr>
            <w:r>
              <w:rPr>
                <w:rFonts w:ascii="Arial" w:cs="Arial" w:eastAsia="Arial" w:hAnsi="Arial"/>
                <w:sz w:val="18"/>
                <w:szCs w:val="18"/>
                <w:color w:val="auto"/>
              </w:rPr>
              <w:t>$22.10</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800</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4.56</w:t>
            </w:r>
          </w:p>
        </w:tc>
        <w:tc>
          <w:tcPr>
            <w:tcW w:w="2380" w:type="dxa"/>
            <w:vAlign w:val="bottom"/>
          </w:tcPr>
          <w:p>
            <w:pPr>
              <w:jc w:val="right"/>
              <w:ind w:right="472"/>
              <w:spacing w:after="0"/>
              <w:rPr>
                <w:sz w:val="20"/>
                <w:szCs w:val="20"/>
                <w:color w:val="auto"/>
              </w:rPr>
            </w:pPr>
            <w:r>
              <w:rPr>
                <w:rFonts w:ascii="Arial" w:cs="Arial" w:eastAsia="Arial" w:hAnsi="Arial"/>
                <w:sz w:val="18"/>
                <w:szCs w:val="18"/>
                <w:color w:val="auto"/>
              </w:rPr>
              <w:t>$22.10</w:t>
            </w:r>
          </w:p>
        </w:tc>
        <w:tc>
          <w:tcPr>
            <w:tcW w:w="18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$22.10</w:t>
            </w:r>
          </w:p>
        </w:tc>
      </w:tr>
      <w:tr>
        <w:trPr>
          <w:trHeight w:val="212"/>
        </w:trPr>
        <w:tc>
          <w:tcPr>
            <w:tcW w:w="21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$22.26</w:t>
            </w:r>
          </w:p>
        </w:tc>
        <w:tc>
          <w:tcPr>
            <w:tcW w:w="17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415,953</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4.15</w:t>
            </w:r>
          </w:p>
        </w:tc>
        <w:tc>
          <w:tcPr>
            <w:tcW w:w="23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$22.26</w:t>
            </w:r>
          </w:p>
        </w:tc>
        <w:tc>
          <w:tcPr>
            <w:tcW w:w="18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229,621</w:t>
            </w: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$22.26</w:t>
            </w:r>
          </w:p>
        </w:tc>
      </w:tr>
      <w:tr>
        <w:trPr>
          <w:trHeight w:val="212"/>
        </w:trPr>
        <w:tc>
          <w:tcPr>
            <w:tcW w:w="2140" w:type="dxa"/>
            <w:vAlign w:val="bottom"/>
          </w:tcPr>
          <w:p>
            <w:pPr>
              <w:jc w:val="right"/>
              <w:ind w:right="432"/>
              <w:spacing w:after="0"/>
              <w:rPr>
                <w:sz w:val="20"/>
                <w:szCs w:val="20"/>
                <w:color w:val="auto"/>
              </w:rPr>
            </w:pPr>
            <w:r>
              <w:rPr>
                <w:rFonts w:ascii="Arial" w:cs="Arial" w:eastAsia="Arial" w:hAnsi="Arial"/>
                <w:sz w:val="18"/>
                <w:szCs w:val="18"/>
                <w:color w:val="auto"/>
              </w:rPr>
              <w:t>$22.30</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608,073</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7.32</w:t>
            </w:r>
          </w:p>
        </w:tc>
        <w:tc>
          <w:tcPr>
            <w:tcW w:w="2380" w:type="dxa"/>
            <w:vAlign w:val="bottom"/>
          </w:tcPr>
          <w:p>
            <w:pPr>
              <w:jc w:val="right"/>
              <w:ind w:right="472"/>
              <w:spacing w:after="0"/>
              <w:rPr>
                <w:sz w:val="20"/>
                <w:szCs w:val="20"/>
                <w:color w:val="auto"/>
              </w:rPr>
            </w:pPr>
            <w:r>
              <w:rPr>
                <w:rFonts w:ascii="Arial" w:cs="Arial" w:eastAsia="Arial" w:hAnsi="Arial"/>
                <w:sz w:val="18"/>
                <w:szCs w:val="18"/>
                <w:color w:val="auto"/>
              </w:rPr>
              <w:t>$22.30</w:t>
            </w:r>
          </w:p>
        </w:tc>
        <w:tc>
          <w:tcPr>
            <w:tcW w:w="18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$22.30</w:t>
            </w:r>
          </w:p>
        </w:tc>
      </w:tr>
      <w:tr>
        <w:trPr>
          <w:trHeight w:val="212"/>
        </w:trPr>
        <w:tc>
          <w:tcPr>
            <w:tcW w:w="21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$22.60</w:t>
            </w:r>
          </w:p>
        </w:tc>
        <w:tc>
          <w:tcPr>
            <w:tcW w:w="17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2,000</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23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$22.60</w:t>
            </w:r>
          </w:p>
        </w:tc>
        <w:tc>
          <w:tcPr>
            <w:tcW w:w="18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2,000</w:t>
            </w: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$22.60</w:t>
            </w:r>
          </w:p>
        </w:tc>
      </w:tr>
      <w:tr>
        <w:trPr>
          <w:trHeight w:val="212"/>
        </w:trPr>
        <w:tc>
          <w:tcPr>
            <w:tcW w:w="2140" w:type="dxa"/>
            <w:vAlign w:val="bottom"/>
          </w:tcPr>
          <w:p>
            <w:pPr>
              <w:jc w:val="right"/>
              <w:ind w:right="432"/>
              <w:spacing w:after="0"/>
              <w:rPr>
                <w:sz w:val="20"/>
                <w:szCs w:val="20"/>
                <w:color w:val="auto"/>
              </w:rPr>
            </w:pPr>
            <w:r>
              <w:rPr>
                <w:rFonts w:ascii="Arial" w:cs="Arial" w:eastAsia="Arial" w:hAnsi="Arial"/>
                <w:sz w:val="18"/>
                <w:szCs w:val="18"/>
                <w:color w:val="auto"/>
              </w:rPr>
              <w:t>$23.20</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4,000</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5.70</w:t>
            </w:r>
          </w:p>
        </w:tc>
        <w:tc>
          <w:tcPr>
            <w:tcW w:w="2380" w:type="dxa"/>
            <w:vAlign w:val="bottom"/>
          </w:tcPr>
          <w:p>
            <w:pPr>
              <w:jc w:val="right"/>
              <w:ind w:right="472"/>
              <w:spacing w:after="0"/>
              <w:rPr>
                <w:sz w:val="20"/>
                <w:szCs w:val="20"/>
                <w:color w:val="auto"/>
              </w:rPr>
            </w:pPr>
            <w:r>
              <w:rPr>
                <w:rFonts w:ascii="Arial" w:cs="Arial" w:eastAsia="Arial" w:hAnsi="Arial"/>
                <w:sz w:val="18"/>
                <w:szCs w:val="18"/>
                <w:color w:val="auto"/>
              </w:rPr>
              <w:t>$23.20</w:t>
            </w:r>
          </w:p>
        </w:tc>
        <w:tc>
          <w:tcPr>
            <w:tcW w:w="1840" w:type="dxa"/>
            <w:vAlign w:val="bottom"/>
          </w:tcPr>
          <w:p>
            <w:pPr>
              <w:jc w:val="right"/>
              <w:ind w:right="372"/>
              <w:spacing w:after="0"/>
              <w:rPr>
                <w:sz w:val="20"/>
                <w:szCs w:val="20"/>
                <w:color w:val="auto"/>
              </w:rPr>
            </w:pPr>
            <w:r>
              <w:rPr>
                <w:rFonts w:ascii="Arial" w:cs="Arial" w:eastAsia="Arial" w:hAnsi="Arial"/>
                <w:sz w:val="18"/>
                <w:szCs w:val="18"/>
                <w:color w:val="auto"/>
              </w:rPr>
              <w:t>1,600</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$23.20</w:t>
            </w:r>
          </w:p>
        </w:tc>
      </w:tr>
      <w:tr>
        <w:trPr>
          <w:trHeight w:val="212"/>
        </w:trPr>
        <w:tc>
          <w:tcPr>
            <w:tcW w:w="21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$23.66</w:t>
            </w:r>
          </w:p>
        </w:tc>
        <w:tc>
          <w:tcPr>
            <w:tcW w:w="17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9,580</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7.57</w:t>
            </w:r>
          </w:p>
        </w:tc>
        <w:tc>
          <w:tcPr>
            <w:tcW w:w="23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$23.66</w:t>
            </w:r>
          </w:p>
        </w:tc>
        <w:tc>
          <w:tcPr>
            <w:tcW w:w="18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$23.66</w:t>
            </w:r>
          </w:p>
        </w:tc>
      </w:tr>
      <w:tr>
        <w:trPr>
          <w:trHeight w:val="212"/>
        </w:trPr>
        <w:tc>
          <w:tcPr>
            <w:tcW w:w="2140" w:type="dxa"/>
            <w:vAlign w:val="bottom"/>
          </w:tcPr>
          <w:p>
            <w:pPr>
              <w:jc w:val="right"/>
              <w:ind w:right="432"/>
              <w:spacing w:after="0"/>
              <w:rPr>
                <w:sz w:val="20"/>
                <w:szCs w:val="20"/>
                <w:color w:val="auto"/>
              </w:rPr>
            </w:pPr>
            <w:r>
              <w:rPr>
                <w:rFonts w:ascii="Arial" w:cs="Arial" w:eastAsia="Arial" w:hAnsi="Arial"/>
                <w:sz w:val="18"/>
                <w:szCs w:val="18"/>
                <w:color w:val="auto"/>
              </w:rPr>
              <w:t>$24.25</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150,000</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5.18</w:t>
            </w:r>
          </w:p>
        </w:tc>
        <w:tc>
          <w:tcPr>
            <w:tcW w:w="2380" w:type="dxa"/>
            <w:vAlign w:val="bottom"/>
          </w:tcPr>
          <w:p>
            <w:pPr>
              <w:jc w:val="right"/>
              <w:ind w:right="472"/>
              <w:spacing w:after="0"/>
              <w:rPr>
                <w:sz w:val="20"/>
                <w:szCs w:val="20"/>
                <w:color w:val="auto"/>
              </w:rPr>
            </w:pPr>
            <w:r>
              <w:rPr>
                <w:rFonts w:ascii="Arial" w:cs="Arial" w:eastAsia="Arial" w:hAnsi="Arial"/>
                <w:sz w:val="18"/>
                <w:szCs w:val="18"/>
                <w:color w:val="auto"/>
              </w:rPr>
              <w:t>$24.25</w:t>
            </w:r>
          </w:p>
        </w:tc>
        <w:tc>
          <w:tcPr>
            <w:tcW w:w="1840" w:type="dxa"/>
            <w:vAlign w:val="bottom"/>
          </w:tcPr>
          <w:p>
            <w:pPr>
              <w:jc w:val="right"/>
              <w:ind w:right="372"/>
              <w:spacing w:after="0"/>
              <w:rPr>
                <w:sz w:val="20"/>
                <w:szCs w:val="20"/>
                <w:color w:val="auto"/>
              </w:rPr>
            </w:pPr>
            <w:r>
              <w:rPr>
                <w:rFonts w:ascii="Arial" w:cs="Arial" w:eastAsia="Arial" w:hAnsi="Arial"/>
                <w:sz w:val="18"/>
                <w:szCs w:val="18"/>
                <w:color w:val="auto"/>
              </w:rPr>
              <w:t>150,000</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$24.25</w:t>
            </w:r>
          </w:p>
        </w:tc>
      </w:tr>
      <w:tr>
        <w:trPr>
          <w:trHeight w:val="212"/>
        </w:trPr>
        <w:tc>
          <w:tcPr>
            <w:tcW w:w="21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$24.46</w:t>
            </w:r>
          </w:p>
        </w:tc>
        <w:tc>
          <w:tcPr>
            <w:tcW w:w="17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507,728</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5.17</w:t>
            </w:r>
          </w:p>
        </w:tc>
        <w:tc>
          <w:tcPr>
            <w:tcW w:w="23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$24.46</w:t>
            </w:r>
          </w:p>
        </w:tc>
        <w:tc>
          <w:tcPr>
            <w:tcW w:w="18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196,667</w:t>
            </w: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$24.46</w:t>
            </w:r>
          </w:p>
        </w:tc>
      </w:tr>
      <w:tr>
        <w:trPr>
          <w:trHeight w:val="212"/>
        </w:trPr>
        <w:tc>
          <w:tcPr>
            <w:tcW w:w="2140" w:type="dxa"/>
            <w:vAlign w:val="bottom"/>
          </w:tcPr>
          <w:p>
            <w:pPr>
              <w:jc w:val="right"/>
              <w:ind w:right="432"/>
              <w:spacing w:after="0"/>
              <w:rPr>
                <w:sz w:val="20"/>
                <w:szCs w:val="20"/>
                <w:color w:val="auto"/>
              </w:rPr>
            </w:pPr>
            <w:r>
              <w:rPr>
                <w:rFonts w:ascii="Arial" w:cs="Arial" w:eastAsia="Arial" w:hAnsi="Arial"/>
                <w:sz w:val="18"/>
                <w:szCs w:val="18"/>
                <w:color w:val="auto"/>
              </w:rPr>
              <w:t>$26.20</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2,400</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5.38</w:t>
            </w:r>
          </w:p>
        </w:tc>
        <w:tc>
          <w:tcPr>
            <w:tcW w:w="2380" w:type="dxa"/>
            <w:vAlign w:val="bottom"/>
          </w:tcPr>
          <w:p>
            <w:pPr>
              <w:jc w:val="right"/>
              <w:ind w:right="472"/>
              <w:spacing w:after="0"/>
              <w:rPr>
                <w:sz w:val="20"/>
                <w:szCs w:val="20"/>
                <w:color w:val="auto"/>
              </w:rPr>
            </w:pPr>
            <w:r>
              <w:rPr>
                <w:rFonts w:ascii="Arial" w:cs="Arial" w:eastAsia="Arial" w:hAnsi="Arial"/>
                <w:sz w:val="18"/>
                <w:szCs w:val="18"/>
                <w:color w:val="auto"/>
              </w:rPr>
              <w:t>$26.20</w:t>
            </w:r>
          </w:p>
        </w:tc>
        <w:tc>
          <w:tcPr>
            <w:tcW w:w="1840" w:type="dxa"/>
            <w:vAlign w:val="bottom"/>
          </w:tcPr>
          <w:p>
            <w:pPr>
              <w:jc w:val="right"/>
              <w:ind w:right="372"/>
              <w:spacing w:after="0"/>
              <w:rPr>
                <w:sz w:val="20"/>
                <w:szCs w:val="20"/>
                <w:color w:val="auto"/>
              </w:rPr>
            </w:pPr>
            <w:r>
              <w:rPr>
                <w:rFonts w:ascii="Arial" w:cs="Arial" w:eastAsia="Arial" w:hAnsi="Arial"/>
                <w:sz w:val="18"/>
                <w:szCs w:val="18"/>
                <w:color w:val="auto"/>
              </w:rPr>
              <w:t>960</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$26.20</w:t>
            </w:r>
          </w:p>
        </w:tc>
      </w:tr>
      <w:tr>
        <w:trPr>
          <w:trHeight w:val="212"/>
        </w:trPr>
        <w:tc>
          <w:tcPr>
            <w:tcW w:w="21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$26.27</w:t>
            </w:r>
          </w:p>
        </w:tc>
        <w:tc>
          <w:tcPr>
            <w:tcW w:w="17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2,000</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3.81</w:t>
            </w:r>
          </w:p>
        </w:tc>
        <w:tc>
          <w:tcPr>
            <w:tcW w:w="23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$26.27</w:t>
            </w:r>
          </w:p>
        </w:tc>
        <w:tc>
          <w:tcPr>
            <w:tcW w:w="18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1,600</w:t>
            </w: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$26.27</w:t>
            </w:r>
          </w:p>
        </w:tc>
      </w:tr>
      <w:tr>
        <w:trPr>
          <w:trHeight w:val="212"/>
        </w:trPr>
        <w:tc>
          <w:tcPr>
            <w:tcW w:w="2140" w:type="dxa"/>
            <w:vAlign w:val="bottom"/>
          </w:tcPr>
          <w:p>
            <w:pPr>
              <w:jc w:val="right"/>
              <w:ind w:right="432"/>
              <w:spacing w:after="0"/>
              <w:rPr>
                <w:sz w:val="20"/>
                <w:szCs w:val="20"/>
                <w:color w:val="auto"/>
              </w:rPr>
            </w:pPr>
            <w:r>
              <w:rPr>
                <w:rFonts w:ascii="Arial" w:cs="Arial" w:eastAsia="Arial" w:hAnsi="Arial"/>
                <w:sz w:val="18"/>
                <w:szCs w:val="18"/>
                <w:color w:val="auto"/>
              </w:rPr>
              <w:t>$26.71</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12,450</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7.70</w:t>
            </w:r>
          </w:p>
        </w:tc>
        <w:tc>
          <w:tcPr>
            <w:tcW w:w="2380" w:type="dxa"/>
            <w:vAlign w:val="bottom"/>
          </w:tcPr>
          <w:p>
            <w:pPr>
              <w:jc w:val="right"/>
              <w:ind w:right="472"/>
              <w:spacing w:after="0"/>
              <w:rPr>
                <w:sz w:val="20"/>
                <w:szCs w:val="20"/>
                <w:color w:val="auto"/>
              </w:rPr>
            </w:pPr>
            <w:r>
              <w:rPr>
                <w:rFonts w:ascii="Arial" w:cs="Arial" w:eastAsia="Arial" w:hAnsi="Arial"/>
                <w:sz w:val="18"/>
                <w:szCs w:val="18"/>
                <w:color w:val="auto"/>
              </w:rPr>
              <w:t>$26.71</w:t>
            </w:r>
          </w:p>
        </w:tc>
        <w:tc>
          <w:tcPr>
            <w:tcW w:w="18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$26.71</w:t>
            </w:r>
          </w:p>
        </w:tc>
      </w:tr>
      <w:tr>
        <w:trPr>
          <w:trHeight w:val="212"/>
        </w:trPr>
        <w:tc>
          <w:tcPr>
            <w:tcW w:w="21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$27.91</w:t>
            </w:r>
          </w:p>
        </w:tc>
        <w:tc>
          <w:tcPr>
            <w:tcW w:w="17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2,000</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5.41</w:t>
            </w:r>
          </w:p>
        </w:tc>
        <w:tc>
          <w:tcPr>
            <w:tcW w:w="23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$27.91</w:t>
            </w:r>
          </w:p>
        </w:tc>
        <w:tc>
          <w:tcPr>
            <w:tcW w:w="18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800</w:t>
            </w: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$27.91</w:t>
            </w:r>
          </w:p>
        </w:tc>
      </w:tr>
      <w:tr>
        <w:trPr>
          <w:trHeight w:val="212"/>
        </w:trPr>
        <w:tc>
          <w:tcPr>
            <w:tcW w:w="2140" w:type="dxa"/>
            <w:vAlign w:val="bottom"/>
          </w:tcPr>
          <w:p>
            <w:pPr>
              <w:jc w:val="right"/>
              <w:ind w:right="432"/>
              <w:spacing w:after="0"/>
              <w:rPr>
                <w:sz w:val="20"/>
                <w:szCs w:val="20"/>
                <w:color w:val="auto"/>
              </w:rPr>
            </w:pPr>
            <w:r>
              <w:rPr>
                <w:rFonts w:ascii="Arial" w:cs="Arial" w:eastAsia="Arial" w:hAnsi="Arial"/>
                <w:sz w:val="18"/>
                <w:szCs w:val="18"/>
                <w:color w:val="auto"/>
              </w:rPr>
              <w:t>$29.45</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8,000</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5.32</w:t>
            </w:r>
          </w:p>
        </w:tc>
        <w:tc>
          <w:tcPr>
            <w:tcW w:w="2380" w:type="dxa"/>
            <w:vAlign w:val="bottom"/>
          </w:tcPr>
          <w:p>
            <w:pPr>
              <w:jc w:val="right"/>
              <w:ind w:right="472"/>
              <w:spacing w:after="0"/>
              <w:rPr>
                <w:sz w:val="20"/>
                <w:szCs w:val="20"/>
                <w:color w:val="auto"/>
              </w:rPr>
            </w:pPr>
            <w:r>
              <w:rPr>
                <w:rFonts w:ascii="Arial" w:cs="Arial" w:eastAsia="Arial" w:hAnsi="Arial"/>
                <w:sz w:val="18"/>
                <w:szCs w:val="18"/>
                <w:color w:val="auto"/>
              </w:rPr>
              <w:t>$29.45</w:t>
            </w:r>
          </w:p>
        </w:tc>
        <w:tc>
          <w:tcPr>
            <w:tcW w:w="1840" w:type="dxa"/>
            <w:vAlign w:val="bottom"/>
          </w:tcPr>
          <w:p>
            <w:pPr>
              <w:jc w:val="right"/>
              <w:ind w:right="372"/>
              <w:spacing w:after="0"/>
              <w:rPr>
                <w:sz w:val="20"/>
                <w:szCs w:val="20"/>
                <w:color w:val="auto"/>
              </w:rPr>
            </w:pPr>
            <w:r>
              <w:rPr>
                <w:rFonts w:ascii="Arial" w:cs="Arial" w:eastAsia="Arial" w:hAnsi="Arial"/>
                <w:sz w:val="18"/>
                <w:szCs w:val="18"/>
                <w:color w:val="auto"/>
              </w:rPr>
              <w:t>3,200</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$29.45</w:t>
            </w:r>
          </w:p>
        </w:tc>
      </w:tr>
      <w:tr>
        <w:trPr>
          <w:trHeight w:val="212"/>
        </w:trPr>
        <w:tc>
          <w:tcPr>
            <w:tcW w:w="21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$35.33</w:t>
            </w:r>
          </w:p>
        </w:tc>
        <w:tc>
          <w:tcPr>
            <w:tcW w:w="17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685,932</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3.15</w:t>
            </w:r>
          </w:p>
        </w:tc>
        <w:tc>
          <w:tcPr>
            <w:tcW w:w="23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$35.33</w:t>
            </w:r>
          </w:p>
        </w:tc>
        <w:tc>
          <w:tcPr>
            <w:tcW w:w="18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555,384</w:t>
            </w: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$35.33</w:t>
            </w:r>
          </w:p>
        </w:tc>
      </w:tr>
      <w:tr>
        <w:trPr>
          <w:trHeight w:val="212"/>
        </w:trPr>
        <w:tc>
          <w:tcPr>
            <w:tcW w:w="2140" w:type="dxa"/>
            <w:vAlign w:val="bottom"/>
          </w:tcPr>
          <w:p>
            <w:pPr>
              <w:jc w:val="right"/>
              <w:ind w:right="432"/>
              <w:spacing w:after="0"/>
              <w:rPr>
                <w:sz w:val="20"/>
                <w:szCs w:val="20"/>
                <w:color w:val="auto"/>
              </w:rPr>
            </w:pPr>
            <w:r>
              <w:rPr>
                <w:rFonts w:ascii="Arial" w:cs="Arial" w:eastAsia="Arial" w:hAnsi="Arial"/>
                <w:sz w:val="18"/>
                <w:szCs w:val="18"/>
                <w:color w:val="auto"/>
              </w:rPr>
              <w:t>$36.05</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6,000</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3.40</w:t>
            </w:r>
          </w:p>
        </w:tc>
        <w:tc>
          <w:tcPr>
            <w:tcW w:w="2380" w:type="dxa"/>
            <w:vAlign w:val="bottom"/>
          </w:tcPr>
          <w:p>
            <w:pPr>
              <w:jc w:val="right"/>
              <w:ind w:right="472"/>
              <w:spacing w:after="0"/>
              <w:rPr>
                <w:sz w:val="20"/>
                <w:szCs w:val="20"/>
                <w:color w:val="auto"/>
              </w:rPr>
            </w:pPr>
            <w:r>
              <w:rPr>
                <w:rFonts w:ascii="Arial" w:cs="Arial" w:eastAsia="Arial" w:hAnsi="Arial"/>
                <w:sz w:val="18"/>
                <w:szCs w:val="18"/>
                <w:color w:val="auto"/>
              </w:rPr>
              <w:t>$36.05</w:t>
            </w:r>
          </w:p>
        </w:tc>
        <w:tc>
          <w:tcPr>
            <w:tcW w:w="1840" w:type="dxa"/>
            <w:vAlign w:val="bottom"/>
          </w:tcPr>
          <w:p>
            <w:pPr>
              <w:jc w:val="right"/>
              <w:ind w:right="372"/>
              <w:spacing w:after="0"/>
              <w:rPr>
                <w:sz w:val="20"/>
                <w:szCs w:val="20"/>
                <w:color w:val="auto"/>
              </w:rPr>
            </w:pPr>
            <w:r>
              <w:rPr>
                <w:rFonts w:ascii="Arial" w:cs="Arial" w:eastAsia="Arial" w:hAnsi="Arial"/>
                <w:sz w:val="18"/>
                <w:szCs w:val="18"/>
                <w:color w:val="auto"/>
              </w:rPr>
              <w:t>6,000</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$36.05</w:t>
            </w:r>
          </w:p>
        </w:tc>
      </w:tr>
      <w:tr>
        <w:trPr>
          <w:trHeight w:val="212"/>
        </w:trPr>
        <w:tc>
          <w:tcPr>
            <w:tcW w:w="21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$36.20</w:t>
            </w:r>
          </w:p>
        </w:tc>
        <w:tc>
          <w:tcPr>
            <w:tcW w:w="17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2,000</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3.33</w:t>
            </w:r>
          </w:p>
        </w:tc>
        <w:tc>
          <w:tcPr>
            <w:tcW w:w="23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$36.20</w:t>
            </w:r>
          </w:p>
        </w:tc>
        <w:tc>
          <w:tcPr>
            <w:tcW w:w="18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1,600</w:t>
            </w: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$36.20</w:t>
            </w:r>
          </w:p>
        </w:tc>
      </w:tr>
      <w:tr>
        <w:trPr>
          <w:trHeight w:val="219"/>
        </w:trPr>
        <w:tc>
          <w:tcPr>
            <w:tcW w:w="21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$41.25</w:t>
            </w:r>
          </w:p>
        </w:tc>
        <w:tc>
          <w:tcPr>
            <w:tcW w:w="17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1,000</w:t>
            </w:r>
          </w:p>
        </w:tc>
        <w:tc>
          <w:tcPr>
            <w:tcW w:w="1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3.67</w:t>
            </w:r>
          </w:p>
        </w:tc>
        <w:tc>
          <w:tcPr>
            <w:tcW w:w="23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$41.25</w:t>
            </w:r>
          </w:p>
        </w:tc>
        <w:tc>
          <w:tcPr>
            <w:tcW w:w="18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800</w:t>
            </w:r>
          </w:p>
        </w:tc>
        <w:tc>
          <w:tcPr>
            <w:tcW w:w="16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$41.25</w:t>
            </w:r>
          </w:p>
        </w:tc>
      </w:tr>
      <w:tr>
        <w:trPr>
          <w:trHeight w:val="212"/>
        </w:trPr>
        <w:tc>
          <w:tcPr>
            <w:tcW w:w="2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2"/>
        </w:trPr>
        <w:tc>
          <w:tcPr>
            <w:tcW w:w="21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$8.60 - $41.25</w:t>
            </w:r>
          </w:p>
        </w:tc>
        <w:tc>
          <w:tcPr>
            <w:tcW w:w="17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4,350,631</w:t>
            </w:r>
          </w:p>
        </w:tc>
        <w:tc>
          <w:tcPr>
            <w:tcW w:w="1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4.67</w:t>
            </w:r>
          </w:p>
        </w:tc>
        <w:tc>
          <w:tcPr>
            <w:tcW w:w="23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$23.01</w:t>
            </w:r>
          </w:p>
        </w:tc>
        <w:tc>
          <w:tcPr>
            <w:tcW w:w="18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2,256,098</w:t>
            </w:r>
          </w:p>
        </w:tc>
        <w:tc>
          <w:tcPr>
            <w:tcW w:w="16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$23.54</w:t>
            </w: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589"/>
        </w:trPr>
        <w:tc>
          <w:tcPr>
            <w:tcW w:w="2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80" w:type="dxa"/>
            <w:vAlign w:val="bottom"/>
          </w:tcPr>
          <w:p>
            <w:pPr>
              <w:jc w:val="right"/>
              <w:ind w:right="2012"/>
              <w:spacing w:after="0"/>
              <w:rPr>
                <w:sz w:val="20"/>
                <w:szCs w:val="20"/>
                <w:color w:val="auto"/>
              </w:rPr>
            </w:pPr>
            <w:r>
              <w:rPr>
                <w:rFonts w:ascii="Arial" w:cs="Arial" w:eastAsia="Arial" w:hAnsi="Arial"/>
                <w:sz w:val="18"/>
                <w:szCs w:val="18"/>
                <w:color w:val="auto"/>
              </w:rPr>
              <w:t>60</w:t>
            </w: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7"/>
        </w:trPr>
        <w:tc>
          <w:tcPr>
            <w:tcW w:w="21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ind w:right="8580" w:firstLine="6"/>
        <w:spacing w:after="0" w:line="557" w:lineRule="auto"/>
        <w:tabs>
          <w:tab w:leader="none" w:pos="265"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 based payments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continued</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Share option fair values</w:t>
      </w:r>
    </w:p>
    <w:p>
      <w:pPr>
        <w:ind w:right="260"/>
        <w:spacing w:after="0" w:line="265" w:lineRule="auto"/>
        <w:rPr>
          <w:sz w:val="20"/>
          <w:szCs w:val="20"/>
          <w:color w:val="auto"/>
        </w:rPr>
      </w:pPr>
      <w:r>
        <w:rPr>
          <w:rFonts w:ascii="Arial" w:cs="Arial" w:eastAsia="Arial" w:hAnsi="Arial"/>
          <w:sz w:val="18"/>
          <w:szCs w:val="18"/>
          <w:color w:val="auto"/>
        </w:rPr>
        <w:t>The overall weighted average fair value of share options granted by the Company during the year ended 31 December 2012 was $9.70 based on the following grants: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20" w:type="dxa"/>
            <w:vAlign w:val="bottom"/>
          </w:tcPr>
          <w:p>
            <w:pPr>
              <w:jc w:val="right"/>
              <w:ind w:right="1452"/>
              <w:spacing w:after="0"/>
              <w:rPr>
                <w:sz w:val="20"/>
                <w:szCs w:val="20"/>
                <w:color w:val="auto"/>
              </w:rPr>
            </w:pPr>
            <w:r>
              <w:rPr>
                <w:rFonts w:ascii="Arial" w:cs="Arial" w:eastAsia="Arial" w:hAnsi="Arial"/>
                <w:sz w:val="18"/>
                <w:szCs w:val="18"/>
                <w:b w:val="1"/>
                <w:bCs w:val="1"/>
                <w:color w:val="auto"/>
              </w:rPr>
              <w:t>Grant Date</w:t>
            </w:r>
          </w:p>
        </w:tc>
        <w:tc>
          <w:tcPr>
            <w:tcW w:w="3540" w:type="dxa"/>
            <w:vAlign w:val="bottom"/>
          </w:tcPr>
          <w:p>
            <w:pPr>
              <w:jc w:val="right"/>
              <w:ind w:right="1112"/>
              <w:spacing w:after="0"/>
              <w:rPr>
                <w:sz w:val="20"/>
                <w:szCs w:val="20"/>
                <w:color w:val="auto"/>
              </w:rPr>
            </w:pPr>
            <w:r>
              <w:rPr>
                <w:rFonts w:ascii="Arial" w:cs="Arial" w:eastAsia="Arial" w:hAnsi="Arial"/>
                <w:sz w:val="18"/>
                <w:szCs w:val="18"/>
                <w:b w:val="1"/>
                <w:bCs w:val="1"/>
                <w:color w:val="auto"/>
              </w:rPr>
              <w:t>Number of</w:t>
            </w:r>
          </w:p>
        </w:tc>
        <w:tc>
          <w:tcPr>
            <w:tcW w:w="2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29"/>
        </w:trPr>
        <w:tc>
          <w:tcPr>
            <w:tcW w:w="5320" w:type="dxa"/>
            <w:vAlign w:val="bottom"/>
          </w:tcPr>
          <w:p>
            <w:pPr>
              <w:spacing w:after="0"/>
              <w:rPr>
                <w:sz w:val="19"/>
                <w:szCs w:val="19"/>
                <w:color w:val="auto"/>
              </w:rPr>
            </w:pPr>
          </w:p>
        </w:tc>
        <w:tc>
          <w:tcPr>
            <w:tcW w:w="3540" w:type="dxa"/>
            <w:vAlign w:val="bottom"/>
          </w:tcPr>
          <w:p>
            <w:pPr>
              <w:jc w:val="right"/>
              <w:ind w:right="1112"/>
              <w:spacing w:after="0"/>
              <w:rPr>
                <w:sz w:val="20"/>
                <w:szCs w:val="20"/>
                <w:color w:val="auto"/>
              </w:rPr>
            </w:pPr>
            <w:r>
              <w:rPr>
                <w:rFonts w:ascii="Arial" w:cs="Arial" w:eastAsia="Arial" w:hAnsi="Arial"/>
                <w:sz w:val="18"/>
                <w:szCs w:val="18"/>
                <w:b w:val="1"/>
                <w:bCs w:val="1"/>
                <w:color w:val="auto"/>
              </w:rPr>
              <w:t>Shares</w:t>
            </w:r>
          </w:p>
        </w:tc>
        <w:tc>
          <w:tcPr>
            <w:tcW w:w="2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13"/>
        </w:trPr>
        <w:tc>
          <w:tcPr>
            <w:tcW w:w="5320" w:type="dxa"/>
            <w:vAlign w:val="bottom"/>
            <w:shd w:val="clear" w:color="auto" w:fill="CCEEFF"/>
          </w:tcPr>
          <w:p>
            <w:pPr>
              <w:jc w:val="right"/>
              <w:ind w:right="1452"/>
              <w:spacing w:after="0"/>
              <w:rPr>
                <w:sz w:val="20"/>
                <w:szCs w:val="20"/>
                <w:color w:val="auto"/>
              </w:rPr>
            </w:pPr>
            <w:r>
              <w:rPr>
                <w:rFonts w:ascii="Arial" w:cs="Arial" w:eastAsia="Arial" w:hAnsi="Arial"/>
                <w:sz w:val="18"/>
                <w:szCs w:val="18"/>
                <w:color w:val="auto"/>
              </w:rPr>
              <w:t>22-Feb-12</w:t>
            </w:r>
          </w:p>
        </w:tc>
        <w:tc>
          <w:tcPr>
            <w:tcW w:w="354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rPr>
              <w:t>185,000</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20" w:type="dxa"/>
            <w:vAlign w:val="bottom"/>
          </w:tcPr>
          <w:p>
            <w:pPr>
              <w:jc w:val="right"/>
              <w:ind w:right="1452"/>
              <w:spacing w:after="0"/>
              <w:rPr>
                <w:sz w:val="20"/>
                <w:szCs w:val="20"/>
                <w:color w:val="auto"/>
              </w:rPr>
            </w:pPr>
            <w:r>
              <w:rPr>
                <w:rFonts w:ascii="Arial" w:cs="Arial" w:eastAsia="Arial" w:hAnsi="Arial"/>
                <w:sz w:val="18"/>
                <w:szCs w:val="18"/>
                <w:color w:val="auto"/>
              </w:rPr>
              <w:t>27-Apr-12</w:t>
            </w:r>
          </w:p>
        </w:tc>
        <w:tc>
          <w:tcPr>
            <w:tcW w:w="3540" w:type="dxa"/>
            <w:vAlign w:val="bottom"/>
          </w:tcPr>
          <w:p>
            <w:pPr>
              <w:jc w:val="right"/>
              <w:ind w:right="1112"/>
              <w:spacing w:after="0"/>
              <w:rPr>
                <w:sz w:val="20"/>
                <w:szCs w:val="20"/>
                <w:color w:val="auto"/>
              </w:rPr>
            </w:pPr>
            <w:r>
              <w:rPr>
                <w:rFonts w:ascii="Arial" w:cs="Arial" w:eastAsia="Arial" w:hAnsi="Arial"/>
                <w:sz w:val="18"/>
                <w:szCs w:val="18"/>
                <w:color w:val="auto"/>
              </w:rPr>
              <w:t>635,243</w:t>
            </w:r>
          </w:p>
        </w:tc>
        <w:tc>
          <w:tcPr>
            <w:tcW w:w="2560" w:type="dxa"/>
            <w:vAlign w:val="bottom"/>
          </w:tcPr>
          <w:p>
            <w:pPr>
              <w:jc w:val="right"/>
              <w:spacing w:after="0"/>
              <w:rPr>
                <w:sz w:val="20"/>
                <w:szCs w:val="20"/>
                <w:color w:val="auto"/>
              </w:rPr>
            </w:pPr>
            <w:r>
              <w:rPr>
                <w:rFonts w:ascii="Arial" w:cs="Arial" w:eastAsia="Arial" w:hAnsi="Arial"/>
                <w:sz w:val="18"/>
                <w:szCs w:val="18"/>
                <w:color w:val="auto"/>
              </w:rPr>
              <w:t>22.30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20" w:type="dxa"/>
            <w:vAlign w:val="bottom"/>
            <w:shd w:val="clear" w:color="auto" w:fill="CCEEFF"/>
          </w:tcPr>
          <w:p>
            <w:pPr>
              <w:jc w:val="right"/>
              <w:ind w:right="1452"/>
              <w:spacing w:after="0"/>
              <w:rPr>
                <w:sz w:val="20"/>
                <w:szCs w:val="20"/>
                <w:color w:val="auto"/>
              </w:rPr>
            </w:pPr>
            <w:r>
              <w:rPr>
                <w:rFonts w:ascii="Arial" w:cs="Arial" w:eastAsia="Arial" w:hAnsi="Arial"/>
                <w:sz w:val="18"/>
                <w:szCs w:val="18"/>
                <w:color w:val="auto"/>
              </w:rPr>
              <w:t>27-Jul-12</w:t>
            </w:r>
          </w:p>
        </w:tc>
        <w:tc>
          <w:tcPr>
            <w:tcW w:w="354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rPr>
              <w:t>9,580</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tcBorders>
              <w:bottom w:val="single" w:sz="8" w:color="auto"/>
            </w:tcBorders>
          </w:tcPr>
          <w:p>
            <w:pPr>
              <w:jc w:val="right"/>
              <w:ind w:right="1452"/>
              <w:spacing w:after="0"/>
              <w:rPr>
                <w:sz w:val="20"/>
                <w:szCs w:val="20"/>
                <w:color w:val="auto"/>
              </w:rPr>
            </w:pPr>
            <w:r>
              <w:rPr>
                <w:rFonts w:ascii="Arial" w:cs="Arial" w:eastAsia="Arial" w:hAnsi="Arial"/>
                <w:sz w:val="18"/>
                <w:szCs w:val="18"/>
                <w:color w:val="auto"/>
              </w:rPr>
              <w:t>09-Nov-12</w:t>
            </w:r>
          </w:p>
        </w:tc>
        <w:tc>
          <w:tcPr>
            <w:tcW w:w="3540" w:type="dxa"/>
            <w:vAlign w:val="bottom"/>
            <w:tcBorders>
              <w:bottom w:val="single" w:sz="8" w:color="auto"/>
            </w:tcBorders>
          </w:tcPr>
          <w:p>
            <w:pPr>
              <w:jc w:val="right"/>
              <w:ind w:right="1112"/>
              <w:spacing w:after="0"/>
              <w:rPr>
                <w:sz w:val="20"/>
                <w:szCs w:val="20"/>
                <w:color w:val="auto"/>
              </w:rPr>
            </w:pPr>
            <w:r>
              <w:rPr>
                <w:rFonts w:ascii="Arial" w:cs="Arial" w:eastAsia="Arial" w:hAnsi="Arial"/>
                <w:sz w:val="18"/>
                <w:szCs w:val="18"/>
                <w:color w:val="auto"/>
              </w:rPr>
              <w:t>12,450</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jc w:val="right"/>
              <w:ind w:right="1112"/>
              <w:spacing w:after="0"/>
              <w:rPr>
                <w:sz w:val="20"/>
                <w:szCs w:val="20"/>
                <w:color w:val="auto"/>
              </w:rPr>
            </w:pPr>
            <w:r>
              <w:rPr>
                <w:rFonts w:ascii="Arial" w:cs="Arial" w:eastAsia="Arial" w:hAnsi="Arial"/>
                <w:sz w:val="18"/>
                <w:szCs w:val="18"/>
                <w:b w:val="1"/>
                <w:bCs w:val="1"/>
                <w:color w:val="auto"/>
              </w:rPr>
              <w:t>842,273</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$22.01</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color w:val="auto"/>
        </w:rPr>
        <w:t>The overall weighted average fair value of share options granted by the Company during the year ended 31 December 2011 was $7.50 based on the following grants: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20" w:type="dxa"/>
            <w:vAlign w:val="bottom"/>
          </w:tcPr>
          <w:p>
            <w:pPr>
              <w:jc w:val="right"/>
              <w:ind w:right="1452"/>
              <w:spacing w:after="0"/>
              <w:rPr>
                <w:sz w:val="20"/>
                <w:szCs w:val="20"/>
                <w:color w:val="auto"/>
              </w:rPr>
            </w:pPr>
            <w:r>
              <w:rPr>
                <w:rFonts w:ascii="Arial" w:cs="Arial" w:eastAsia="Arial" w:hAnsi="Arial"/>
                <w:sz w:val="18"/>
                <w:szCs w:val="18"/>
                <w:b w:val="1"/>
                <w:bCs w:val="1"/>
                <w:color w:val="auto"/>
              </w:rPr>
              <w:t>Grant Date</w:t>
            </w:r>
          </w:p>
        </w:tc>
        <w:tc>
          <w:tcPr>
            <w:tcW w:w="3540" w:type="dxa"/>
            <w:vAlign w:val="bottom"/>
          </w:tcPr>
          <w:p>
            <w:pPr>
              <w:jc w:val="right"/>
              <w:ind w:right="1112"/>
              <w:spacing w:after="0"/>
              <w:rPr>
                <w:sz w:val="20"/>
                <w:szCs w:val="20"/>
                <w:color w:val="auto"/>
              </w:rPr>
            </w:pPr>
            <w:r>
              <w:rPr>
                <w:rFonts w:ascii="Arial" w:cs="Arial" w:eastAsia="Arial" w:hAnsi="Arial"/>
                <w:sz w:val="18"/>
                <w:szCs w:val="18"/>
                <w:b w:val="1"/>
                <w:bCs w:val="1"/>
                <w:color w:val="auto"/>
              </w:rPr>
              <w:t>Number of</w:t>
            </w:r>
          </w:p>
        </w:tc>
        <w:tc>
          <w:tcPr>
            <w:tcW w:w="2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29"/>
        </w:trPr>
        <w:tc>
          <w:tcPr>
            <w:tcW w:w="5320" w:type="dxa"/>
            <w:vAlign w:val="bottom"/>
          </w:tcPr>
          <w:p>
            <w:pPr>
              <w:spacing w:after="0"/>
              <w:rPr>
                <w:sz w:val="19"/>
                <w:szCs w:val="19"/>
                <w:color w:val="auto"/>
              </w:rPr>
            </w:pPr>
          </w:p>
        </w:tc>
        <w:tc>
          <w:tcPr>
            <w:tcW w:w="3540" w:type="dxa"/>
            <w:vAlign w:val="bottom"/>
          </w:tcPr>
          <w:p>
            <w:pPr>
              <w:jc w:val="right"/>
              <w:ind w:right="1112"/>
              <w:spacing w:after="0"/>
              <w:rPr>
                <w:sz w:val="20"/>
                <w:szCs w:val="20"/>
                <w:color w:val="auto"/>
              </w:rPr>
            </w:pPr>
            <w:r>
              <w:rPr>
                <w:rFonts w:ascii="Arial" w:cs="Arial" w:eastAsia="Arial" w:hAnsi="Arial"/>
                <w:sz w:val="18"/>
                <w:szCs w:val="18"/>
                <w:b w:val="1"/>
                <w:bCs w:val="1"/>
                <w:color w:val="auto"/>
              </w:rPr>
              <w:t>Shares</w:t>
            </w:r>
          </w:p>
        </w:tc>
        <w:tc>
          <w:tcPr>
            <w:tcW w:w="2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13"/>
        </w:trPr>
        <w:tc>
          <w:tcPr>
            <w:tcW w:w="5320" w:type="dxa"/>
            <w:vAlign w:val="bottom"/>
            <w:shd w:val="clear" w:color="auto" w:fill="CCEEFF"/>
          </w:tcPr>
          <w:p>
            <w:pPr>
              <w:jc w:val="right"/>
              <w:ind w:right="1452"/>
              <w:spacing w:after="0"/>
              <w:rPr>
                <w:sz w:val="20"/>
                <w:szCs w:val="20"/>
                <w:color w:val="auto"/>
              </w:rPr>
            </w:pPr>
            <w:r>
              <w:rPr>
                <w:rFonts w:ascii="Arial" w:cs="Arial" w:eastAsia="Arial" w:hAnsi="Arial"/>
                <w:sz w:val="18"/>
                <w:szCs w:val="18"/>
                <w:color w:val="auto"/>
              </w:rPr>
              <w:t>3-Mar-11</w:t>
            </w:r>
          </w:p>
        </w:tc>
        <w:tc>
          <w:tcPr>
            <w:tcW w:w="354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rPr>
              <w:t>799,449</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20" w:type="dxa"/>
            <w:vAlign w:val="bottom"/>
          </w:tcPr>
          <w:p>
            <w:pPr>
              <w:jc w:val="right"/>
              <w:ind w:right="1452"/>
              <w:spacing w:after="0"/>
              <w:rPr>
                <w:sz w:val="20"/>
                <w:szCs w:val="20"/>
                <w:color w:val="auto"/>
              </w:rPr>
            </w:pPr>
            <w:r>
              <w:rPr>
                <w:rFonts w:ascii="Arial" w:cs="Arial" w:eastAsia="Arial" w:hAnsi="Arial"/>
                <w:sz w:val="18"/>
                <w:szCs w:val="18"/>
                <w:color w:val="auto"/>
              </w:rPr>
              <w:t>25-Jul-11</w:t>
            </w:r>
          </w:p>
        </w:tc>
        <w:tc>
          <w:tcPr>
            <w:tcW w:w="3540" w:type="dxa"/>
            <w:vAlign w:val="bottom"/>
          </w:tcPr>
          <w:p>
            <w:pPr>
              <w:jc w:val="right"/>
              <w:ind w:right="1112"/>
              <w:spacing w:after="0"/>
              <w:rPr>
                <w:sz w:val="20"/>
                <w:szCs w:val="20"/>
                <w:color w:val="auto"/>
              </w:rPr>
            </w:pPr>
            <w:r>
              <w:rPr>
                <w:rFonts w:ascii="Arial" w:cs="Arial" w:eastAsia="Arial" w:hAnsi="Arial"/>
                <w:sz w:val="18"/>
                <w:szCs w:val="18"/>
                <w:color w:val="auto"/>
              </w:rPr>
              <w:t>10,000</w:t>
            </w:r>
          </w:p>
        </w:tc>
        <w:tc>
          <w:tcPr>
            <w:tcW w:w="2560" w:type="dxa"/>
            <w:vAlign w:val="bottom"/>
          </w:tcPr>
          <w:p>
            <w:pPr>
              <w:jc w:val="right"/>
              <w:spacing w:after="0"/>
              <w:rPr>
                <w:sz w:val="20"/>
                <w:szCs w:val="20"/>
                <w:color w:val="auto"/>
              </w:rPr>
            </w:pPr>
            <w:r>
              <w:rPr>
                <w:rFonts w:ascii="Arial" w:cs="Arial" w:eastAsia="Arial" w:hAnsi="Arial"/>
                <w:sz w:val="18"/>
                <w:szCs w:val="18"/>
                <w:color w:val="auto"/>
              </w:rPr>
              <w:t>22.93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20" w:type="dxa"/>
            <w:vAlign w:val="bottom"/>
            <w:shd w:val="clear" w:color="auto" w:fill="CCEEFF"/>
          </w:tcPr>
          <w:p>
            <w:pPr>
              <w:jc w:val="right"/>
              <w:ind w:right="1452"/>
              <w:spacing w:after="0"/>
              <w:rPr>
                <w:sz w:val="20"/>
                <w:szCs w:val="20"/>
                <w:color w:val="auto"/>
              </w:rPr>
            </w:pPr>
            <w:r>
              <w:rPr>
                <w:rFonts w:ascii="Arial" w:cs="Arial" w:eastAsia="Arial" w:hAnsi="Arial"/>
                <w:sz w:val="18"/>
                <w:szCs w:val="18"/>
                <w:color w:val="auto"/>
              </w:rPr>
              <w:t>31-Oct-11</w:t>
            </w:r>
          </w:p>
        </w:tc>
        <w:tc>
          <w:tcPr>
            <w:tcW w:w="354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rPr>
              <w:t>150,000</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tcBorders>
              <w:bottom w:val="single" w:sz="8" w:color="auto"/>
            </w:tcBorders>
          </w:tcPr>
          <w:p>
            <w:pPr>
              <w:jc w:val="right"/>
              <w:ind w:right="1452"/>
              <w:spacing w:after="0"/>
              <w:rPr>
                <w:sz w:val="20"/>
                <w:szCs w:val="20"/>
                <w:color w:val="auto"/>
              </w:rPr>
            </w:pPr>
            <w:r>
              <w:rPr>
                <w:rFonts w:ascii="Arial" w:cs="Arial" w:eastAsia="Arial" w:hAnsi="Arial"/>
                <w:sz w:val="18"/>
                <w:szCs w:val="18"/>
                <w:color w:val="auto"/>
              </w:rPr>
              <w:t>07-Nov-11</w:t>
            </w:r>
          </w:p>
        </w:tc>
        <w:tc>
          <w:tcPr>
            <w:tcW w:w="3540" w:type="dxa"/>
            <w:vAlign w:val="bottom"/>
            <w:tcBorders>
              <w:bottom w:val="single" w:sz="8" w:color="auto"/>
            </w:tcBorders>
          </w:tcPr>
          <w:p>
            <w:pPr>
              <w:jc w:val="right"/>
              <w:ind w:right="1112"/>
              <w:spacing w:after="0"/>
              <w:rPr>
                <w:sz w:val="20"/>
                <w:szCs w:val="20"/>
                <w:color w:val="auto"/>
              </w:rPr>
            </w:pPr>
            <w:r>
              <w:rPr>
                <w:rFonts w:ascii="Arial" w:cs="Arial" w:eastAsia="Arial" w:hAnsi="Arial"/>
                <w:sz w:val="18"/>
                <w:szCs w:val="18"/>
                <w:color w:val="auto"/>
              </w:rPr>
              <w:t>30,000</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jc w:val="right"/>
              <w:ind w:right="1112"/>
              <w:spacing w:after="0"/>
              <w:rPr>
                <w:sz w:val="20"/>
                <w:szCs w:val="20"/>
                <w:color w:val="auto"/>
              </w:rPr>
            </w:pPr>
            <w:r>
              <w:rPr>
                <w:rFonts w:ascii="Arial" w:cs="Arial" w:eastAsia="Arial" w:hAnsi="Arial"/>
                <w:sz w:val="18"/>
                <w:szCs w:val="18"/>
                <w:b w:val="1"/>
                <w:bCs w:val="1"/>
                <w:color w:val="auto"/>
              </w:rPr>
              <w:t>989,449</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$19.66</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share options – Assumptions</w:t>
      </w:r>
    </w:p>
    <w:p>
      <w:pPr>
        <w:spacing w:after="0" w:line="24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fair values of options granted during the year ended 31 December 2012 and the year ended 31 December 2011 were calculated using a binomial option-pricing-model, using the following assumptions: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80" w:type="dxa"/>
            <w:vAlign w:val="bottom"/>
          </w:tcPr>
          <w:p>
            <w:pPr>
              <w:spacing w:after="0"/>
              <w:rPr>
                <w:sz w:val="18"/>
                <w:szCs w:val="18"/>
                <w:color w:val="auto"/>
              </w:rPr>
            </w:pPr>
          </w:p>
        </w:tc>
        <w:tc>
          <w:tcPr>
            <w:tcW w:w="4000" w:type="dxa"/>
            <w:vAlign w:val="bottom"/>
          </w:tcPr>
          <w:p>
            <w:pPr>
              <w:jc w:val="right"/>
              <w:ind w:right="1032"/>
              <w:spacing w:after="0"/>
              <w:rPr>
                <w:sz w:val="20"/>
                <w:szCs w:val="20"/>
                <w:color w:val="auto"/>
              </w:rPr>
            </w:pPr>
            <w:r>
              <w:rPr>
                <w:rFonts w:ascii="Arial" w:cs="Arial" w:eastAsia="Arial" w:hAnsi="Arial"/>
                <w:sz w:val="18"/>
                <w:szCs w:val="18"/>
                <w:b w:val="1"/>
                <w:bCs w:val="1"/>
                <w:color w:val="auto"/>
              </w:rPr>
              <w:t>Year ended</w:t>
            </w:r>
          </w:p>
        </w:tc>
        <w:tc>
          <w:tcPr>
            <w:tcW w:w="2640" w:type="dxa"/>
            <w:vAlign w:val="bottom"/>
          </w:tcPr>
          <w:p>
            <w:pPr>
              <w:jc w:val="right"/>
              <w:spacing w:after="0"/>
              <w:rPr>
                <w:sz w:val="20"/>
                <w:szCs w:val="20"/>
                <w:color w:val="auto"/>
              </w:rPr>
            </w:pPr>
            <w:r>
              <w:rPr>
                <w:rFonts w:ascii="Arial" w:cs="Arial" w:eastAsia="Arial" w:hAnsi="Arial"/>
                <w:sz w:val="18"/>
                <w:szCs w:val="18"/>
                <w:color w:val="auto"/>
              </w:rPr>
              <w:t>Year ended</w:t>
            </w:r>
          </w:p>
        </w:tc>
      </w:tr>
      <w:tr>
        <w:trPr>
          <w:trHeight w:val="229"/>
        </w:trPr>
        <w:tc>
          <w:tcPr>
            <w:tcW w:w="4780" w:type="dxa"/>
            <w:vAlign w:val="bottom"/>
          </w:tcPr>
          <w:p>
            <w:pPr>
              <w:spacing w:after="0"/>
              <w:rPr>
                <w:sz w:val="19"/>
                <w:szCs w:val="19"/>
                <w:color w:val="auto"/>
              </w:rPr>
            </w:pPr>
          </w:p>
        </w:tc>
        <w:tc>
          <w:tcPr>
            <w:tcW w:w="4000" w:type="dxa"/>
            <w:vAlign w:val="bottom"/>
          </w:tcPr>
          <w:p>
            <w:pPr>
              <w:jc w:val="right"/>
              <w:ind w:right="1032"/>
              <w:spacing w:after="0"/>
              <w:rPr>
                <w:sz w:val="20"/>
                <w:szCs w:val="20"/>
                <w:color w:val="auto"/>
              </w:rPr>
            </w:pPr>
            <w:r>
              <w:rPr>
                <w:rFonts w:ascii="Arial" w:cs="Arial" w:eastAsia="Arial" w:hAnsi="Arial"/>
                <w:sz w:val="18"/>
                <w:szCs w:val="18"/>
                <w:b w:val="1"/>
                <w:bCs w:val="1"/>
                <w:color w:val="auto"/>
              </w:rPr>
              <w:t>31 December</w:t>
            </w:r>
          </w:p>
        </w:tc>
        <w:tc>
          <w:tcPr>
            <w:tcW w:w="264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13"/>
        </w:trPr>
        <w:tc>
          <w:tcPr>
            <w:tcW w:w="4780" w:type="dxa"/>
            <w:vAlign w:val="bottom"/>
            <w:shd w:val="clear" w:color="auto" w:fill="CCEEFF"/>
          </w:tcPr>
          <w:p>
            <w:pPr>
              <w:spacing w:after="0"/>
              <w:rPr>
                <w:sz w:val="18"/>
                <w:szCs w:val="18"/>
                <w:color w:val="auto"/>
              </w:rPr>
            </w:pPr>
          </w:p>
        </w:tc>
        <w:tc>
          <w:tcPr>
            <w:tcW w:w="4000" w:type="dxa"/>
            <w:vAlign w:val="bottom"/>
            <w:shd w:val="clear" w:color="auto" w:fill="CCEEFF"/>
          </w:tcPr>
          <w:p>
            <w:pPr>
              <w:jc w:val="right"/>
              <w:ind w:right="1032"/>
              <w:spacing w:after="0"/>
              <w:rPr>
                <w:sz w:val="20"/>
                <w:szCs w:val="20"/>
                <w:color w:val="auto"/>
              </w:rPr>
            </w:pPr>
            <w:r>
              <w:rPr>
                <w:rFonts w:ascii="Arial" w:cs="Arial" w:eastAsia="Arial" w:hAnsi="Arial"/>
                <w:sz w:val="18"/>
                <w:szCs w:val="18"/>
                <w:b w:val="1"/>
                <w:bCs w:val="1"/>
                <w:color w:val="auto"/>
              </w:rPr>
              <w:t>2012</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r>
      <w:tr>
        <w:trPr>
          <w:trHeight w:val="212"/>
        </w:trPr>
        <w:tc>
          <w:tcPr>
            <w:tcW w:w="4780" w:type="dxa"/>
            <w:vAlign w:val="bottom"/>
          </w:tcPr>
          <w:p>
            <w:pPr>
              <w:spacing w:after="0"/>
              <w:rPr>
                <w:sz w:val="20"/>
                <w:szCs w:val="20"/>
                <w:color w:val="auto"/>
              </w:rPr>
            </w:pPr>
            <w:r>
              <w:rPr>
                <w:rFonts w:ascii="Arial" w:cs="Arial" w:eastAsia="Arial" w:hAnsi="Arial"/>
                <w:sz w:val="18"/>
                <w:szCs w:val="18"/>
                <w:color w:val="auto"/>
              </w:rPr>
              <w:t>Weighted average share price</w:t>
            </w:r>
          </w:p>
        </w:tc>
        <w:tc>
          <w:tcPr>
            <w:tcW w:w="4000" w:type="dxa"/>
            <w:vAlign w:val="bottom"/>
          </w:tcPr>
          <w:p>
            <w:pPr>
              <w:jc w:val="right"/>
              <w:ind w:right="1032"/>
              <w:spacing w:after="0"/>
              <w:rPr>
                <w:sz w:val="20"/>
                <w:szCs w:val="20"/>
                <w:color w:val="auto"/>
              </w:rPr>
            </w:pPr>
            <w:r>
              <w:rPr>
                <w:rFonts w:ascii="Arial" w:cs="Arial" w:eastAsia="Arial" w:hAnsi="Arial"/>
                <w:sz w:val="18"/>
                <w:szCs w:val="18"/>
                <w:b w:val="1"/>
                <w:bCs w:val="1"/>
                <w:color w:val="auto"/>
              </w:rPr>
              <w:t>$22.01</w:t>
            </w:r>
          </w:p>
        </w:tc>
        <w:tc>
          <w:tcPr>
            <w:tcW w:w="2640" w:type="dxa"/>
            <w:vAlign w:val="bottom"/>
          </w:tcPr>
          <w:p>
            <w:pPr>
              <w:jc w:val="right"/>
              <w:spacing w:after="0"/>
              <w:rPr>
                <w:sz w:val="20"/>
                <w:szCs w:val="20"/>
                <w:color w:val="auto"/>
              </w:rPr>
            </w:pPr>
            <w:r>
              <w:rPr>
                <w:rFonts w:ascii="Arial" w:cs="Arial" w:eastAsia="Arial" w:hAnsi="Arial"/>
                <w:sz w:val="18"/>
                <w:szCs w:val="18"/>
                <w:color w:val="auto"/>
              </w:rPr>
              <w:t>$19.66</w:t>
            </w:r>
          </w:p>
        </w:tc>
      </w:tr>
      <w:tr>
        <w:trPr>
          <w:trHeight w:val="212"/>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exercise price</w:t>
            </w:r>
          </w:p>
        </w:tc>
        <w:tc>
          <w:tcPr>
            <w:tcW w:w="4000" w:type="dxa"/>
            <w:vAlign w:val="bottom"/>
            <w:shd w:val="clear" w:color="auto" w:fill="CCEEFF"/>
          </w:tcPr>
          <w:p>
            <w:pPr>
              <w:jc w:val="right"/>
              <w:ind w:right="1032"/>
              <w:spacing w:after="0"/>
              <w:rPr>
                <w:sz w:val="20"/>
                <w:szCs w:val="20"/>
                <w:color w:val="auto"/>
              </w:rPr>
            </w:pPr>
            <w:r>
              <w:rPr>
                <w:rFonts w:ascii="Arial" w:cs="Arial" w:eastAsia="Arial" w:hAnsi="Arial"/>
                <w:sz w:val="18"/>
                <w:szCs w:val="18"/>
                <w:b w:val="1"/>
                <w:bCs w:val="1"/>
                <w:color w:val="auto"/>
              </w:rPr>
              <w:t>$22.01</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r>
      <w:tr>
        <w:trPr>
          <w:trHeight w:val="212"/>
        </w:trPr>
        <w:tc>
          <w:tcPr>
            <w:tcW w:w="4780" w:type="dxa"/>
            <w:vAlign w:val="bottom"/>
          </w:tcPr>
          <w:p>
            <w:pPr>
              <w:spacing w:after="0"/>
              <w:rPr>
                <w:sz w:val="20"/>
                <w:szCs w:val="20"/>
                <w:color w:val="auto"/>
              </w:rPr>
            </w:pPr>
            <w:r>
              <w:rPr>
                <w:rFonts w:ascii="Arial" w:cs="Arial" w:eastAsia="Arial" w:hAnsi="Arial"/>
                <w:sz w:val="18"/>
                <w:szCs w:val="18"/>
                <w:color w:val="auto"/>
              </w:rPr>
              <w:t>Expected volatility (1)</w:t>
            </w:r>
          </w:p>
        </w:tc>
        <w:tc>
          <w:tcPr>
            <w:tcW w:w="4000" w:type="dxa"/>
            <w:vAlign w:val="bottom"/>
          </w:tcPr>
          <w:p>
            <w:pPr>
              <w:jc w:val="right"/>
              <w:ind w:right="1032"/>
              <w:spacing w:after="0"/>
              <w:rPr>
                <w:sz w:val="20"/>
                <w:szCs w:val="20"/>
                <w:color w:val="auto"/>
              </w:rPr>
            </w:pPr>
            <w:r>
              <w:rPr>
                <w:rFonts w:ascii="Arial" w:cs="Arial" w:eastAsia="Arial" w:hAnsi="Arial"/>
                <w:sz w:val="18"/>
                <w:szCs w:val="18"/>
                <w:b w:val="1"/>
                <w:bCs w:val="1"/>
                <w:color w:val="auto"/>
              </w:rPr>
              <w:t>50%</w:t>
            </w:r>
          </w:p>
        </w:tc>
        <w:tc>
          <w:tcPr>
            <w:tcW w:w="2640" w:type="dxa"/>
            <w:vAlign w:val="bottom"/>
          </w:tcPr>
          <w:p>
            <w:pPr>
              <w:jc w:val="right"/>
              <w:spacing w:after="0"/>
              <w:rPr>
                <w:sz w:val="20"/>
                <w:szCs w:val="20"/>
                <w:color w:val="auto"/>
              </w:rPr>
            </w:pPr>
            <w:r>
              <w:rPr>
                <w:rFonts w:ascii="Arial" w:cs="Arial" w:eastAsia="Arial" w:hAnsi="Arial"/>
                <w:sz w:val="18"/>
                <w:szCs w:val="18"/>
                <w:color w:val="auto"/>
              </w:rPr>
              <w:t>45-50%</w:t>
            </w:r>
          </w:p>
        </w:tc>
      </w:tr>
      <w:tr>
        <w:trPr>
          <w:trHeight w:val="212"/>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000" w:type="dxa"/>
            <w:vAlign w:val="bottom"/>
            <w:shd w:val="clear" w:color="auto" w:fill="CCEEFF"/>
          </w:tcPr>
          <w:p>
            <w:pPr>
              <w:jc w:val="right"/>
              <w:ind w:right="1032"/>
              <w:spacing w:after="0"/>
              <w:rPr>
                <w:sz w:val="20"/>
                <w:szCs w:val="20"/>
                <w:color w:val="auto"/>
              </w:rPr>
            </w:pPr>
            <w:r>
              <w:rPr>
                <w:rFonts w:ascii="Arial" w:cs="Arial" w:eastAsia="Arial" w:hAnsi="Arial"/>
                <w:sz w:val="18"/>
                <w:szCs w:val="18"/>
                <w:b w:val="1"/>
                <w:bCs w:val="1"/>
                <w:color w:val="auto"/>
              </w:rPr>
              <w:t>-</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2"/>
        </w:trPr>
        <w:tc>
          <w:tcPr>
            <w:tcW w:w="4780" w:type="dxa"/>
            <w:vAlign w:val="bottom"/>
          </w:tcPr>
          <w:p>
            <w:pPr>
              <w:spacing w:after="0"/>
              <w:rPr>
                <w:sz w:val="20"/>
                <w:szCs w:val="20"/>
                <w:color w:val="auto"/>
              </w:rPr>
            </w:pPr>
            <w:r>
              <w:rPr>
                <w:rFonts w:ascii="Arial" w:cs="Arial" w:eastAsia="Arial" w:hAnsi="Arial"/>
                <w:sz w:val="18"/>
                <w:szCs w:val="18"/>
                <w:color w:val="auto"/>
              </w:rPr>
              <w:t>Risk-free rate (2)</w:t>
            </w:r>
          </w:p>
        </w:tc>
        <w:tc>
          <w:tcPr>
            <w:tcW w:w="4000" w:type="dxa"/>
            <w:vAlign w:val="bottom"/>
          </w:tcPr>
          <w:p>
            <w:pPr>
              <w:jc w:val="right"/>
              <w:ind w:right="1032"/>
              <w:spacing w:after="0"/>
              <w:rPr>
                <w:sz w:val="20"/>
                <w:szCs w:val="20"/>
                <w:color w:val="auto"/>
              </w:rPr>
            </w:pPr>
            <w:r>
              <w:rPr>
                <w:rFonts w:ascii="Arial" w:cs="Arial" w:eastAsia="Arial" w:hAnsi="Arial"/>
                <w:sz w:val="18"/>
                <w:szCs w:val="18"/>
                <w:b w:val="1"/>
                <w:bCs w:val="1"/>
                <w:color w:val="auto"/>
              </w:rPr>
              <w:t>0.8%-1.3%</w:t>
            </w:r>
          </w:p>
        </w:tc>
        <w:tc>
          <w:tcPr>
            <w:tcW w:w="2640" w:type="dxa"/>
            <w:vAlign w:val="bottom"/>
          </w:tcPr>
          <w:p>
            <w:pPr>
              <w:jc w:val="right"/>
              <w:spacing w:after="0"/>
              <w:rPr>
                <w:sz w:val="20"/>
                <w:szCs w:val="20"/>
                <w:color w:val="auto"/>
              </w:rPr>
            </w:pPr>
            <w:r>
              <w:rPr>
                <w:rFonts w:ascii="Arial" w:cs="Arial" w:eastAsia="Arial" w:hAnsi="Arial"/>
                <w:sz w:val="18"/>
                <w:szCs w:val="18"/>
                <w:color w:val="auto"/>
              </w:rPr>
              <w:t>0.8%-1.8%</w:t>
            </w:r>
          </w:p>
        </w:tc>
      </w:tr>
      <w:tr>
        <w:trPr>
          <w:trHeight w:val="212"/>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Rate of forced early exercise</w:t>
            </w:r>
          </w:p>
        </w:tc>
        <w:tc>
          <w:tcPr>
            <w:tcW w:w="4000" w:type="dxa"/>
            <w:vAlign w:val="bottom"/>
            <w:shd w:val="clear" w:color="auto" w:fill="CCEEFF"/>
          </w:tcPr>
          <w:p>
            <w:pPr>
              <w:jc w:val="right"/>
              <w:ind w:right="1032"/>
              <w:spacing w:after="0"/>
              <w:rPr>
                <w:sz w:val="20"/>
                <w:szCs w:val="20"/>
                <w:color w:val="auto"/>
              </w:rPr>
            </w:pPr>
            <w:r>
              <w:rPr>
                <w:rFonts w:ascii="Arial" w:cs="Arial" w:eastAsia="Arial" w:hAnsi="Arial"/>
                <w:sz w:val="18"/>
                <w:szCs w:val="18"/>
                <w:b w:val="1"/>
                <w:bCs w:val="1"/>
                <w:color w:val="auto"/>
              </w:rPr>
              <w:t>10% p.a.</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p.a.</w:t>
            </w:r>
          </w:p>
        </w:tc>
      </w:tr>
      <w:tr>
        <w:trPr>
          <w:trHeight w:val="212"/>
        </w:trPr>
        <w:tc>
          <w:tcPr>
            <w:tcW w:w="4780" w:type="dxa"/>
            <w:vAlign w:val="bottom"/>
          </w:tcPr>
          <w:p>
            <w:pPr>
              <w:spacing w:after="0"/>
              <w:rPr>
                <w:sz w:val="20"/>
                <w:szCs w:val="20"/>
                <w:color w:val="auto"/>
              </w:rPr>
            </w:pPr>
            <w:r>
              <w:rPr>
                <w:rFonts w:ascii="Arial" w:cs="Arial" w:eastAsia="Arial" w:hAnsi="Arial"/>
                <w:sz w:val="18"/>
                <w:szCs w:val="18"/>
                <w:color w:val="auto"/>
              </w:rPr>
              <w:t>Minimum gain for voluntary early exercise</w:t>
            </w:r>
          </w:p>
        </w:tc>
        <w:tc>
          <w:tcPr>
            <w:tcW w:w="4000" w:type="dxa"/>
            <w:vAlign w:val="bottom"/>
          </w:tcPr>
          <w:p>
            <w:pPr>
              <w:jc w:val="right"/>
              <w:ind w:right="1032"/>
              <w:spacing w:after="0"/>
              <w:rPr>
                <w:sz w:val="20"/>
                <w:szCs w:val="20"/>
                <w:color w:val="auto"/>
              </w:rPr>
            </w:pPr>
            <w:r>
              <w:rPr>
                <w:rFonts w:ascii="Arial" w:cs="Arial" w:eastAsia="Arial" w:hAnsi="Arial"/>
                <w:sz w:val="18"/>
                <w:szCs w:val="18"/>
                <w:b w:val="1"/>
                <w:bCs w:val="1"/>
                <w:color w:val="auto"/>
              </w:rPr>
              <w:t>25% of exercise price</w:t>
            </w:r>
          </w:p>
        </w:tc>
        <w:tc>
          <w:tcPr>
            <w:tcW w:w="2640" w:type="dxa"/>
            <w:vAlign w:val="bottom"/>
          </w:tcPr>
          <w:p>
            <w:pPr>
              <w:jc w:val="right"/>
              <w:spacing w:after="0"/>
              <w:rPr>
                <w:sz w:val="20"/>
                <w:szCs w:val="20"/>
                <w:color w:val="auto"/>
              </w:rPr>
            </w:pPr>
            <w:r>
              <w:rPr>
                <w:rFonts w:ascii="Arial" w:cs="Arial" w:eastAsia="Arial" w:hAnsi="Arial"/>
                <w:sz w:val="18"/>
                <w:szCs w:val="18"/>
                <w:color w:val="auto"/>
              </w:rPr>
              <w:t>33% of exercise price</w:t>
            </w:r>
          </w:p>
        </w:tc>
      </w:tr>
      <w:tr>
        <w:trPr>
          <w:trHeight w:val="252"/>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Rate of voluntary early exercise at minimum gain</w:t>
            </w:r>
          </w:p>
        </w:tc>
        <w:tc>
          <w:tcPr>
            <w:tcW w:w="4000" w:type="dxa"/>
            <w:vAlign w:val="bottom"/>
            <w:tcBorders>
              <w:bottom w:val="single" w:sz="8" w:color="auto"/>
            </w:tcBorders>
            <w:shd w:val="clear" w:color="auto" w:fill="CCEEFF"/>
          </w:tcPr>
          <w:p>
            <w:pPr>
              <w:jc w:val="right"/>
              <w:ind w:right="1032"/>
              <w:spacing w:after="0"/>
              <w:rPr>
                <w:sz w:val="20"/>
                <w:szCs w:val="20"/>
                <w:color w:val="auto"/>
              </w:rPr>
            </w:pPr>
            <w:r>
              <w:rPr>
                <w:rFonts w:ascii="Arial" w:cs="Arial" w:eastAsia="Arial" w:hAnsi="Arial"/>
                <w:sz w:val="18"/>
                <w:szCs w:val="18"/>
                <w:b w:val="1"/>
                <w:bCs w:val="1"/>
                <w:color w:val="auto"/>
              </w:rPr>
              <w:t>75% per annum</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per annum</w:t>
            </w:r>
          </w:p>
        </w:tc>
      </w:tr>
    </w:tbl>
    <w:p>
      <w:pPr>
        <w:ind w:right="500"/>
        <w:spacing w:after="0" w:line="245" w:lineRule="auto"/>
        <w:rPr>
          <w:sz w:val="20"/>
          <w:szCs w:val="20"/>
          <w:color w:val="auto"/>
        </w:rPr>
      </w:pPr>
      <w:r>
        <w:rPr>
          <w:rFonts w:ascii="Arial" w:cs="Arial" w:eastAsia="Arial" w:hAnsi="Arial"/>
          <w:sz w:val="18"/>
          <w:szCs w:val="18"/>
          <w:color w:val="auto"/>
        </w:rPr>
        <w:t>(1)Expected volatility has been determined based upon the volatility of the Company’s share price over a period which is commensurate with the expected term of the options granted.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(2)Risk-free rate is dependent on the grant date.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Share based payments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24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21 July 2008 the Company adopted the 2008 Employees Restricted Share Unit Plan (the “2008 RSU Plan”) pursuant to which the Compensation and Organisation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 The shares are awarded at zero cost and vest over a service period. Awards under the 2008 RSU Plan may be settled in cash or shares at the option of the Company.</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23 April 2013 the Company adopted the 2013 Employees Restricted Share Unit Plan (the “2013 RSU Plan”) pursuant to which the Compensation and Organisation Committee of the Company’s Board of Directors may select any employee, or any director holding a salaried office or employment with the Company or a Subsidiary to receive an award under the plan. An aggregate of 1.6 million ordinary shares have been reserved for issuance under the 2013 RSU Plan. The shares are awarded at zero cost and vest over a service period. Awards under the 2013 RSU Plan may be settled in cash or shares at the option of the Company.</w:t>
      </w: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has awarded Restricted Share Units (“RSU’s”) to certain key executives of the Group. Details of the movement in RSU’s awarded during the year ended 31 December 2012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360" w:type="dxa"/>
            <w:vAlign w:val="bottom"/>
          </w:tcPr>
          <w:p>
            <w:pPr>
              <w:jc w:val="right"/>
              <w:ind w:right="52"/>
              <w:spacing w:after="0"/>
              <w:rPr>
                <w:sz w:val="20"/>
                <w:szCs w:val="20"/>
                <w:color w:val="auto"/>
              </w:rPr>
            </w:pPr>
            <w:r>
              <w:rPr>
                <w:rFonts w:ascii="Arial" w:cs="Arial" w:eastAsia="Arial" w:hAnsi="Arial"/>
                <w:sz w:val="18"/>
                <w:szCs w:val="18"/>
                <w:b w:val="1"/>
                <w:bCs w:val="1"/>
                <w:color w:val="auto"/>
              </w:rPr>
              <w:t>RSU</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360" w:type="dxa"/>
            <w:vAlign w:val="bottom"/>
          </w:tcPr>
          <w:p>
            <w:pPr>
              <w:jc w:val="right"/>
              <w:ind w:right="52"/>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360" w:type="dxa"/>
            <w:vAlign w:val="bottom"/>
          </w:tcPr>
          <w:p>
            <w:pPr>
              <w:jc w:val="right"/>
              <w:ind w:right="52"/>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4360" w:type="dxa"/>
            <w:vAlign w:val="bottom"/>
          </w:tcPr>
          <w:p>
            <w:pPr>
              <w:jc w:val="right"/>
              <w:ind w:right="52"/>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4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365,000</w:t>
            </w:r>
          </w:p>
        </w:tc>
        <w:tc>
          <w:tcPr>
            <w:tcW w:w="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Awarded</w:t>
            </w:r>
          </w:p>
        </w:tc>
        <w:tc>
          <w:tcPr>
            <w:tcW w:w="4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281,000</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Forfeited</w:t>
            </w:r>
          </w:p>
        </w:tc>
        <w:tc>
          <w:tcPr>
            <w:tcW w:w="4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 at December 31, 2012</w:t>
            </w:r>
          </w:p>
        </w:tc>
        <w:tc>
          <w:tcPr>
            <w:tcW w:w="4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496,000</w:t>
            </w: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bottom w:val="single" w:sz="8" w:color="auto"/>
            </w:tcBorders>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payment expense</w:t>
      </w:r>
    </w:p>
    <w:p>
      <w:pPr>
        <w:spacing w:after="0" w:line="24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Operating profit for the year ended 31 December 2012 is stated after charging $10.2 million in respect of share based payment expense. Share based payment expense has been allocated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380" w:type="dxa"/>
            <w:vAlign w:val="bottom"/>
          </w:tcPr>
          <w:p>
            <w:pPr>
              <w:jc w:val="right"/>
              <w:ind w:right="92"/>
              <w:spacing w:after="0"/>
              <w:rPr>
                <w:sz w:val="20"/>
                <w:szCs w:val="20"/>
                <w:color w:val="auto"/>
              </w:rPr>
            </w:pPr>
            <w:r>
              <w:rPr>
                <w:rFonts w:ascii="Arial" w:cs="Arial" w:eastAsia="Arial" w:hAnsi="Arial"/>
                <w:sz w:val="18"/>
                <w:szCs w:val="18"/>
                <w:b w:val="1"/>
                <w:bCs w:val="1"/>
                <w:color w:val="auto"/>
              </w:rPr>
              <w:t>Year Ended</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380" w:type="dxa"/>
            <w:vAlign w:val="bottom"/>
          </w:tcPr>
          <w:p>
            <w:pPr>
              <w:jc w:val="right"/>
              <w:ind w:right="132"/>
              <w:spacing w:after="0"/>
              <w:rPr>
                <w:sz w:val="20"/>
                <w:szCs w:val="20"/>
                <w:color w:val="auto"/>
              </w:rPr>
            </w:pPr>
            <w:r>
              <w:rPr>
                <w:rFonts w:ascii="Arial" w:cs="Arial" w:eastAsia="Arial" w:hAnsi="Arial"/>
                <w:sz w:val="18"/>
                <w:szCs w:val="18"/>
                <w:b w:val="1"/>
                <w:bCs w:val="1"/>
                <w:color w:val="auto"/>
              </w:rPr>
              <w:t>31 December</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380" w:type="dxa"/>
            <w:vAlign w:val="bottom"/>
          </w:tcPr>
          <w:p>
            <w:pPr>
              <w:jc w:val="right"/>
              <w:ind w:right="92"/>
              <w:spacing w:after="0"/>
              <w:rPr>
                <w:sz w:val="20"/>
                <w:szCs w:val="20"/>
                <w:color w:val="auto"/>
              </w:rPr>
            </w:pPr>
            <w:r>
              <w:rPr>
                <w:rFonts w:ascii="Arial" w:cs="Arial" w:eastAsia="Arial" w:hAnsi="Arial"/>
                <w:sz w:val="18"/>
                <w:szCs w:val="18"/>
                <w:b w:val="1"/>
                <w:bCs w:val="1"/>
                <w:color w:val="auto"/>
              </w:rPr>
              <w:t>2012</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6380" w:type="dxa"/>
            <w:vAlign w:val="bottom"/>
          </w:tcPr>
          <w:p>
            <w:pPr>
              <w:jc w:val="right"/>
              <w:ind w:right="92"/>
              <w:spacing w:after="0"/>
              <w:rPr>
                <w:sz w:val="20"/>
                <w:szCs w:val="20"/>
                <w:color w:val="auto"/>
              </w:rPr>
            </w:pPr>
            <w:r>
              <w:rPr>
                <w:rFonts w:ascii="Arial" w:cs="Arial" w:eastAsia="Arial" w:hAnsi="Arial"/>
                <w:sz w:val="18"/>
                <w:szCs w:val="18"/>
                <w:b w:val="1"/>
                <w:bCs w:val="1"/>
                <w:color w:val="auto"/>
              </w:rPr>
              <w:t>$’000</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63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5,397</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6380" w:type="dxa"/>
            <w:vAlign w:val="bottom"/>
          </w:tcPr>
          <w:p>
            <w:pPr>
              <w:jc w:val="right"/>
              <w:ind w:right="92"/>
              <w:spacing w:after="0"/>
              <w:rPr>
                <w:sz w:val="20"/>
                <w:szCs w:val="20"/>
                <w:color w:val="auto"/>
              </w:rPr>
            </w:pPr>
            <w:r>
              <w:rPr>
                <w:rFonts w:ascii="Arial" w:cs="Arial" w:eastAsia="Arial" w:hAnsi="Arial"/>
                <w:sz w:val="18"/>
                <w:szCs w:val="18"/>
                <w:b w:val="1"/>
                <w:bCs w:val="1"/>
                <w:color w:val="auto"/>
              </w:rPr>
              <w:t>4,398</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Exceptional items (note 7)</w:t>
            </w:r>
          </w:p>
        </w:tc>
        <w:tc>
          <w:tcPr>
            <w:tcW w:w="63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422</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Total</w:t>
            </w:r>
          </w:p>
        </w:tc>
        <w:tc>
          <w:tcPr>
            <w:tcW w:w="63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10,217</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9,564</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380" w:type="dxa"/>
            <w:vAlign w:val="bottom"/>
          </w:tcPr>
          <w:p>
            <w:pPr>
              <w:jc w:val="right"/>
              <w:ind w:right="4252"/>
              <w:spacing w:after="0"/>
              <w:rPr>
                <w:sz w:val="20"/>
                <w:szCs w:val="20"/>
                <w:color w:val="auto"/>
              </w:rPr>
            </w:pPr>
            <w:r>
              <w:rPr>
                <w:rFonts w:ascii="Arial" w:cs="Arial" w:eastAsia="Arial" w:hAnsi="Arial"/>
                <w:sz w:val="18"/>
                <w:szCs w:val="18"/>
                <w:color w:val="auto"/>
              </w:rPr>
              <w:t>62</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63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w w:val="94"/>
              </w:rPr>
              <w:t>11. Property, Plant and Equipment</w:t>
            </w: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Office</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b w:val="1"/>
                <w:bCs w:val="1"/>
                <w:color w:val="auto"/>
              </w:rPr>
              <w:t>Leasehold</w:t>
            </w: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Computer</w:t>
            </w: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furniture &amp;</w:t>
            </w:r>
          </w:p>
        </w:tc>
        <w:tc>
          <w:tcPr>
            <w:tcW w:w="1260" w:type="dxa"/>
            <w:vAlign w:val="bottom"/>
          </w:tcPr>
          <w:p>
            <w:pPr>
              <w:jc w:val="right"/>
              <w:ind w:right="212"/>
              <w:spacing w:after="0"/>
              <w:rPr>
                <w:sz w:val="20"/>
                <w:szCs w:val="20"/>
                <w:color w:val="auto"/>
              </w:rPr>
            </w:pPr>
            <w:r>
              <w:rPr>
                <w:rFonts w:ascii="Arial" w:cs="Arial" w:eastAsia="Arial" w:hAnsi="Arial"/>
                <w:sz w:val="18"/>
                <w:szCs w:val="18"/>
                <w:b w:val="1"/>
                <w:bCs w:val="1"/>
                <w:color w:val="auto"/>
                <w:w w:val="99"/>
              </w:rPr>
              <w:t>Laboratory</w:t>
            </w:r>
          </w:p>
        </w:tc>
        <w:tc>
          <w:tcPr>
            <w:tcW w:w="1180" w:type="dxa"/>
            <w:vAlign w:val="bottom"/>
          </w:tcPr>
          <w:p>
            <w:pPr>
              <w:jc w:val="right"/>
              <w:ind w:right="272"/>
              <w:spacing w:after="0"/>
              <w:rPr>
                <w:sz w:val="20"/>
                <w:szCs w:val="20"/>
                <w:color w:val="auto"/>
              </w:rPr>
            </w:pPr>
            <w:r>
              <w:rPr>
                <w:rFonts w:ascii="Arial" w:cs="Arial" w:eastAsia="Arial" w:hAnsi="Arial"/>
                <w:sz w:val="18"/>
                <w:szCs w:val="18"/>
                <w:b w:val="1"/>
                <w:bCs w:val="1"/>
                <w:color w:val="auto"/>
              </w:rPr>
              <w:t>Motor</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b w:val="1"/>
                <w:bCs w:val="1"/>
                <w:color w:val="auto"/>
              </w:rPr>
              <w:t>Land</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Buildings</w:t>
            </w:r>
          </w:p>
        </w:tc>
        <w:tc>
          <w:tcPr>
            <w:tcW w:w="1380" w:type="dxa"/>
            <w:vAlign w:val="bottom"/>
          </w:tcPr>
          <w:p>
            <w:pPr>
              <w:jc w:val="right"/>
              <w:ind w:right="112"/>
              <w:spacing w:after="0"/>
              <w:rPr>
                <w:sz w:val="20"/>
                <w:szCs w:val="20"/>
                <w:color w:val="auto"/>
              </w:rPr>
            </w:pPr>
            <w:r>
              <w:rPr>
                <w:rFonts w:ascii="Arial" w:cs="Arial" w:eastAsia="Arial" w:hAnsi="Arial"/>
                <w:sz w:val="18"/>
                <w:szCs w:val="18"/>
                <w:b w:val="1"/>
                <w:bCs w:val="1"/>
                <w:color w:val="auto"/>
                <w:w w:val="94"/>
              </w:rPr>
              <w:t>improvements</w:t>
            </w: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w w:val="98"/>
              </w:rPr>
              <w:t>equipment</w:t>
            </w: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fixtures</w:t>
            </w:r>
          </w:p>
        </w:tc>
        <w:tc>
          <w:tcPr>
            <w:tcW w:w="1260" w:type="dxa"/>
            <w:vAlign w:val="bottom"/>
          </w:tcPr>
          <w:p>
            <w:pPr>
              <w:jc w:val="right"/>
              <w:ind w:right="212"/>
              <w:spacing w:after="0"/>
              <w:rPr>
                <w:sz w:val="20"/>
                <w:szCs w:val="20"/>
                <w:color w:val="auto"/>
              </w:rPr>
            </w:pPr>
            <w:r>
              <w:rPr>
                <w:rFonts w:ascii="Arial" w:cs="Arial" w:eastAsia="Arial" w:hAnsi="Arial"/>
                <w:sz w:val="18"/>
                <w:szCs w:val="18"/>
                <w:b w:val="1"/>
                <w:bCs w:val="1"/>
                <w:color w:val="auto"/>
              </w:rPr>
              <w:t>equipment</w:t>
            </w:r>
          </w:p>
        </w:tc>
        <w:tc>
          <w:tcPr>
            <w:tcW w:w="1180" w:type="dxa"/>
            <w:vAlign w:val="bottom"/>
          </w:tcPr>
          <w:p>
            <w:pPr>
              <w:jc w:val="right"/>
              <w:ind w:right="272"/>
              <w:spacing w:after="0"/>
              <w:rPr>
                <w:sz w:val="20"/>
                <w:szCs w:val="20"/>
                <w:color w:val="auto"/>
              </w:rPr>
            </w:pPr>
            <w:r>
              <w:rPr>
                <w:rFonts w:ascii="Arial" w:cs="Arial" w:eastAsia="Arial" w:hAnsi="Arial"/>
                <w:sz w:val="18"/>
                <w:szCs w:val="18"/>
                <w:b w:val="1"/>
                <w:bCs w:val="1"/>
                <w:color w:val="auto"/>
              </w:rPr>
              <w:t>vehicles</w:t>
            </w: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80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$’000</w:t>
            </w: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212"/>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272"/>
              <w:spacing w:after="0"/>
              <w:rPr>
                <w:sz w:val="20"/>
                <w:szCs w:val="20"/>
                <w:color w:val="auto"/>
              </w:rPr>
            </w:pPr>
            <w:r>
              <w:rPr>
                <w:rFonts w:ascii="Arial" w:cs="Arial" w:eastAsia="Arial" w:hAnsi="Arial"/>
                <w:sz w:val="18"/>
                <w:szCs w:val="18"/>
                <w:b w:val="1"/>
                <w:bCs w:val="1"/>
                <w:color w:val="auto"/>
              </w:rPr>
              <w:t>$’000</w:t>
            </w: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2"/>
        </w:trPr>
        <w:tc>
          <w:tcPr>
            <w:tcW w:w="278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2012</w:t>
            </w: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4,212</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73,240</w:t>
            </w:r>
          </w:p>
        </w:tc>
        <w:tc>
          <w:tcPr>
            <w:tcW w:w="1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27,342</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79,925</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58,096</w:t>
            </w: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24,195</w:t>
            </w:r>
          </w:p>
        </w:tc>
        <w:tc>
          <w:tcPr>
            <w:tcW w:w="11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43</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267,053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Additions</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2,799</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6,738</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4,091</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2,302</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15,930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(2,413)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(2,270)</w:t>
            </w:r>
          </w:p>
        </w:tc>
        <w:tc>
          <w:tcPr>
            <w:tcW w:w="11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Arising on acquisition</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78</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190</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160</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(57)</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1,374</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479</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750</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928</w:t>
            </w:r>
          </w:p>
        </w:tc>
        <w:tc>
          <w:tcPr>
            <w:tcW w:w="12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585</w:t>
            </w:r>
          </w:p>
        </w:tc>
        <w:tc>
          <w:tcPr>
            <w:tcW w:w="11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2012</w:t>
            </w:r>
          </w:p>
        </w:tc>
        <w:tc>
          <w:tcPr>
            <w:tcW w:w="8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4,155</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74,614</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28,285</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79,713</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61,942</w:t>
            </w:r>
          </w:p>
        </w:tc>
        <w:tc>
          <w:tcPr>
            <w:tcW w:w="12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24,812</w:t>
            </w:r>
          </w:p>
        </w:tc>
        <w:tc>
          <w:tcPr>
            <w:tcW w:w="11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42</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273,563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At 1 January 2012</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8,668</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17,006</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60,733</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34,882</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16,349</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26</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137,664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Charge for year</w:t>
            </w: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1,873</w:t>
            </w:r>
          </w:p>
        </w:tc>
        <w:tc>
          <w:tcPr>
            <w:tcW w:w="1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4,425</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7,354</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5,369</w:t>
            </w: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2,804</w:t>
            </w:r>
          </w:p>
        </w:tc>
        <w:tc>
          <w:tcPr>
            <w:tcW w:w="11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21,831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Eliminated on disposal</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(2,012)</w:t>
            </w:r>
          </w:p>
        </w:tc>
        <w:tc>
          <w:tcPr>
            <w:tcW w:w="1060" w:type="dxa"/>
            <w:vAlign w:val="bottom"/>
          </w:tcPr>
          <w:p>
            <w:pPr>
              <w:jc w:val="right"/>
              <w:spacing w:after="0"/>
              <w:rPr>
                <w:sz w:val="20"/>
                <w:szCs w:val="20"/>
                <w:color w:val="auto"/>
              </w:rPr>
            </w:pPr>
            <w:r>
              <w:rPr>
                <w:rFonts w:ascii="Arial" w:cs="Arial" w:eastAsia="Arial" w:hAnsi="Arial"/>
                <w:sz w:val="18"/>
                <w:szCs w:val="18"/>
                <w:color w:val="auto"/>
              </w:rPr>
              <w:t>(7,852)</w:t>
            </w:r>
          </w:p>
        </w:tc>
        <w:tc>
          <w:tcPr>
            <w:tcW w:w="1120" w:type="dxa"/>
            <w:vAlign w:val="bottom"/>
          </w:tcPr>
          <w:p>
            <w:pPr>
              <w:jc w:val="right"/>
              <w:spacing w:after="0"/>
              <w:rPr>
                <w:sz w:val="20"/>
                <w:szCs w:val="20"/>
                <w:color w:val="auto"/>
              </w:rPr>
            </w:pPr>
            <w:r>
              <w:rPr>
                <w:rFonts w:ascii="Arial" w:cs="Arial" w:eastAsia="Arial" w:hAnsi="Arial"/>
                <w:sz w:val="18"/>
                <w:szCs w:val="18"/>
                <w:color w:val="auto"/>
              </w:rPr>
              <w:t>(1,214)</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(2,267)</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(2)</w:t>
            </w:r>
          </w:p>
        </w:tc>
        <w:tc>
          <w:tcPr>
            <w:tcW w:w="860" w:type="dxa"/>
            <w:vAlign w:val="bottom"/>
          </w:tcPr>
          <w:p>
            <w:pPr>
              <w:jc w:val="right"/>
              <w:spacing w:after="0"/>
              <w:rPr>
                <w:sz w:val="20"/>
                <w:szCs w:val="20"/>
                <w:color w:val="auto"/>
              </w:rPr>
            </w:pPr>
            <w:r>
              <w:rPr>
                <w:rFonts w:ascii="Arial" w:cs="Arial" w:eastAsia="Arial" w:hAnsi="Arial"/>
                <w:sz w:val="18"/>
                <w:szCs w:val="18"/>
                <w:color w:val="auto"/>
              </w:rPr>
              <w:t>(13,347)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8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260</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512</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588</w:t>
            </w:r>
          </w:p>
        </w:tc>
        <w:tc>
          <w:tcPr>
            <w:tcW w:w="12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386</w:t>
            </w:r>
          </w:p>
        </w:tc>
        <w:tc>
          <w:tcPr>
            <w:tcW w:w="11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2"/>
        </w:trPr>
        <w:tc>
          <w:tcPr>
            <w:tcW w:w="27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2012</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10,783</w:t>
            </w:r>
          </w:p>
        </w:tc>
        <w:tc>
          <w:tcPr>
            <w:tcW w:w="13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19,679</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60,747</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39,625</w:t>
            </w:r>
          </w:p>
        </w:tc>
        <w:tc>
          <w:tcPr>
            <w:tcW w:w="12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17,272</w:t>
            </w:r>
          </w:p>
        </w:tc>
        <w:tc>
          <w:tcPr>
            <w:tcW w:w="11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29</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148,135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2012</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4,155</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63,831</w:t>
            </w:r>
          </w:p>
        </w:tc>
        <w:tc>
          <w:tcPr>
            <w:tcW w:w="13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8,606</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18,966</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22,317</w:t>
            </w:r>
          </w:p>
        </w:tc>
        <w:tc>
          <w:tcPr>
            <w:tcW w:w="12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7,540</w:t>
            </w:r>
          </w:p>
        </w:tc>
        <w:tc>
          <w:tcPr>
            <w:tcW w:w="11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13</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125,428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31 December 2011</w:t>
            </w:r>
          </w:p>
        </w:tc>
        <w:tc>
          <w:tcPr>
            <w:tcW w:w="8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4,212</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64,572</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10,336</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19,192</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23,214</w:t>
            </w:r>
          </w:p>
        </w:tc>
        <w:tc>
          <w:tcPr>
            <w:tcW w:w="12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7,846</w:t>
            </w:r>
          </w:p>
        </w:tc>
        <w:tc>
          <w:tcPr>
            <w:tcW w:w="11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17</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129,389</w:t>
            </w:r>
          </w:p>
        </w:tc>
        <w:tc>
          <w:tcPr>
            <w:tcW w:w="0" w:type="dxa"/>
            <w:vAlign w:val="bottom"/>
          </w:tcPr>
          <w:p>
            <w:pPr>
              <w:spacing w:after="0"/>
              <w:rPr>
                <w:sz w:val="1"/>
                <w:szCs w:val="1"/>
                <w:color w:val="auto"/>
              </w:rPr>
            </w:pPr>
          </w:p>
        </w:tc>
      </w:tr>
      <w:tr>
        <w:trPr>
          <w:trHeight w:val="416"/>
        </w:trPr>
        <w:tc>
          <w:tcPr>
            <w:tcW w:w="10560" w:type="dxa"/>
            <w:vAlign w:val="bottom"/>
            <w:gridSpan w:val="9"/>
          </w:tcPr>
          <w:p>
            <w:pPr>
              <w:spacing w:after="0"/>
              <w:rPr>
                <w:sz w:val="20"/>
                <w:szCs w:val="20"/>
                <w:color w:val="auto"/>
              </w:rPr>
            </w:pPr>
            <w:r>
              <w:rPr>
                <w:rFonts w:ascii="Arial" w:cs="Arial" w:eastAsia="Arial" w:hAnsi="Arial"/>
                <w:sz w:val="18"/>
                <w:szCs w:val="18"/>
                <w:color w:val="auto"/>
                <w:w w:val="90"/>
              </w:rPr>
              <w:t>Depreciation expense of $21.8 million (31 December 2011: $23.2 million) has been charged in ‘other operating expenses’ in the income statement.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7"/>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63</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20" w:type="dxa"/>
            <w:vAlign w:val="bottom"/>
            <w:gridSpan w:val="3"/>
          </w:tcPr>
          <w:p>
            <w:pPr>
              <w:spacing w:after="0"/>
              <w:rPr>
                <w:sz w:val="20"/>
                <w:szCs w:val="20"/>
                <w:color w:val="auto"/>
              </w:rPr>
            </w:pPr>
            <w:r>
              <w:rPr>
                <w:rFonts w:ascii="Arial" w:cs="Arial" w:eastAsia="Arial" w:hAnsi="Arial"/>
                <w:sz w:val="18"/>
                <w:szCs w:val="18"/>
                <w:b w:val="1"/>
                <w:bCs w:val="1"/>
                <w:color w:val="auto"/>
                <w:w w:val="90"/>
              </w:rPr>
              <w:t xml:space="preserve">11. Property, Plant and Equipment </w:t>
            </w:r>
            <w:r>
              <w:rPr>
                <w:rFonts w:ascii="Arial" w:cs="Arial" w:eastAsia="Arial" w:hAnsi="Arial"/>
                <w:sz w:val="18"/>
                <w:szCs w:val="18"/>
                <w:i w:val="1"/>
                <w:iCs w:val="1"/>
                <w:color w:val="auto"/>
                <w:w w:val="90"/>
              </w:rPr>
              <w:t>(</w:t>
            </w:r>
            <w:r>
              <w:rPr>
                <w:rFonts w:ascii="Arial" w:cs="Arial" w:eastAsia="Arial" w:hAnsi="Arial"/>
                <w:sz w:val="18"/>
                <w:szCs w:val="18"/>
                <w:b w:val="1"/>
                <w:bCs w:val="1"/>
                <w:i w:val="1"/>
                <w:iCs w:val="1"/>
                <w:color w:val="auto"/>
                <w:w w:val="90"/>
              </w:rPr>
              <w:t>continued</w:t>
            </w:r>
            <w:r>
              <w:rPr>
                <w:rFonts w:ascii="Arial" w:cs="Arial" w:eastAsia="Arial" w:hAnsi="Arial"/>
                <w:sz w:val="18"/>
                <w:szCs w:val="18"/>
                <w:i w:val="1"/>
                <w:iCs w:val="1"/>
                <w:color w:val="auto"/>
                <w:w w:val="90"/>
              </w:rPr>
              <w:t>)</w:t>
            </w:r>
          </w:p>
        </w:tc>
        <w:tc>
          <w:tcPr>
            <w:tcW w:w="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Office</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Leasehold</w:t>
            </w: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Computer</w:t>
            </w: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furniture &amp;</w:t>
            </w:r>
          </w:p>
        </w:tc>
        <w:tc>
          <w:tcPr>
            <w:tcW w:w="1260" w:type="dxa"/>
            <w:vAlign w:val="bottom"/>
          </w:tcPr>
          <w:p>
            <w:pPr>
              <w:jc w:val="right"/>
              <w:ind w:right="212"/>
              <w:spacing w:after="0"/>
              <w:rPr>
                <w:sz w:val="20"/>
                <w:szCs w:val="20"/>
                <w:color w:val="auto"/>
              </w:rPr>
            </w:pPr>
            <w:r>
              <w:rPr>
                <w:rFonts w:ascii="Arial" w:cs="Arial" w:eastAsia="Arial" w:hAnsi="Arial"/>
                <w:sz w:val="18"/>
                <w:szCs w:val="18"/>
                <w:b w:val="1"/>
                <w:bCs w:val="1"/>
                <w:color w:val="auto"/>
                <w:w w:val="99"/>
              </w:rPr>
              <w:t>Laboratory</w:t>
            </w:r>
          </w:p>
        </w:tc>
        <w:tc>
          <w:tcPr>
            <w:tcW w:w="1120" w:type="dxa"/>
            <w:vAlign w:val="bottom"/>
          </w:tcPr>
          <w:p>
            <w:pPr>
              <w:jc w:val="right"/>
              <w:ind w:right="212"/>
              <w:spacing w:after="0"/>
              <w:rPr>
                <w:sz w:val="20"/>
                <w:szCs w:val="20"/>
                <w:color w:val="auto"/>
              </w:rPr>
            </w:pPr>
            <w:r>
              <w:rPr>
                <w:rFonts w:ascii="Arial" w:cs="Arial" w:eastAsia="Arial" w:hAnsi="Arial"/>
                <w:sz w:val="18"/>
                <w:szCs w:val="18"/>
                <w:b w:val="1"/>
                <w:bCs w:val="1"/>
                <w:color w:val="auto"/>
              </w:rPr>
              <w:t>Motor</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b w:val="1"/>
                <w:bCs w:val="1"/>
                <w:color w:val="auto"/>
              </w:rPr>
              <w:t>Land</w:t>
            </w: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w w:val="97"/>
              </w:rPr>
              <w:t>Buildings</w:t>
            </w:r>
          </w:p>
        </w:tc>
        <w:tc>
          <w:tcPr>
            <w:tcW w:w="1360" w:type="dxa"/>
            <w:vAlign w:val="bottom"/>
          </w:tcPr>
          <w:p>
            <w:pPr>
              <w:jc w:val="right"/>
              <w:ind w:right="92"/>
              <w:spacing w:after="0"/>
              <w:rPr>
                <w:sz w:val="20"/>
                <w:szCs w:val="20"/>
                <w:color w:val="auto"/>
              </w:rPr>
            </w:pPr>
            <w:r>
              <w:rPr>
                <w:rFonts w:ascii="Arial" w:cs="Arial" w:eastAsia="Arial" w:hAnsi="Arial"/>
                <w:sz w:val="18"/>
                <w:szCs w:val="18"/>
                <w:b w:val="1"/>
                <w:bCs w:val="1"/>
                <w:color w:val="auto"/>
                <w:w w:val="94"/>
              </w:rPr>
              <w:t>Improvements</w:t>
            </w: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w w:val="98"/>
              </w:rPr>
              <w:t>equipment</w:t>
            </w: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fixtures</w:t>
            </w:r>
          </w:p>
        </w:tc>
        <w:tc>
          <w:tcPr>
            <w:tcW w:w="1260" w:type="dxa"/>
            <w:vAlign w:val="bottom"/>
          </w:tcPr>
          <w:p>
            <w:pPr>
              <w:jc w:val="right"/>
              <w:ind w:right="212"/>
              <w:spacing w:after="0"/>
              <w:rPr>
                <w:sz w:val="20"/>
                <w:szCs w:val="20"/>
                <w:color w:val="auto"/>
              </w:rPr>
            </w:pPr>
            <w:r>
              <w:rPr>
                <w:rFonts w:ascii="Arial" w:cs="Arial" w:eastAsia="Arial" w:hAnsi="Arial"/>
                <w:sz w:val="18"/>
                <w:szCs w:val="18"/>
                <w:b w:val="1"/>
                <w:bCs w:val="1"/>
                <w:color w:val="auto"/>
              </w:rPr>
              <w:t>equipment</w:t>
            </w:r>
          </w:p>
        </w:tc>
        <w:tc>
          <w:tcPr>
            <w:tcW w:w="1120" w:type="dxa"/>
            <w:vAlign w:val="bottom"/>
          </w:tcPr>
          <w:p>
            <w:pPr>
              <w:jc w:val="right"/>
              <w:ind w:right="212"/>
              <w:spacing w:after="0"/>
              <w:rPr>
                <w:sz w:val="20"/>
                <w:szCs w:val="20"/>
                <w:color w:val="auto"/>
              </w:rPr>
            </w:pPr>
            <w:r>
              <w:rPr>
                <w:rFonts w:ascii="Arial" w:cs="Arial" w:eastAsia="Arial" w:hAnsi="Arial"/>
                <w:sz w:val="18"/>
                <w:szCs w:val="18"/>
                <w:b w:val="1"/>
                <w:bCs w:val="1"/>
                <w:color w:val="auto"/>
              </w:rPr>
              <w:t>vehicles</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1120" w:type="dxa"/>
            <w:vAlign w:val="bottom"/>
          </w:tcPr>
          <w:p>
            <w:pPr>
              <w:jc w:val="right"/>
              <w:ind w:right="192"/>
              <w:spacing w:after="0"/>
              <w:rPr>
                <w:sz w:val="20"/>
                <w:szCs w:val="20"/>
                <w:color w:val="auto"/>
              </w:rPr>
            </w:pPr>
            <w:r>
              <w:rPr>
                <w:rFonts w:ascii="Arial" w:cs="Arial" w:eastAsia="Arial" w:hAnsi="Arial"/>
                <w:sz w:val="18"/>
                <w:szCs w:val="18"/>
                <w:b w:val="1"/>
                <w:bCs w:val="1"/>
                <w:color w:val="auto"/>
              </w:rPr>
              <w:t>$’000</w:t>
            </w: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$’000</w:t>
            </w: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212"/>
              <w:spacing w:after="0"/>
              <w:rPr>
                <w:sz w:val="20"/>
                <w:szCs w:val="20"/>
                <w:color w:val="auto"/>
              </w:rPr>
            </w:pPr>
            <w:r>
              <w:rPr>
                <w:rFonts w:ascii="Arial" w:cs="Arial" w:eastAsia="Arial" w:hAnsi="Arial"/>
                <w:sz w:val="18"/>
                <w:szCs w:val="18"/>
                <w:b w:val="1"/>
                <w:bCs w:val="1"/>
                <w:color w:val="auto"/>
              </w:rPr>
              <w:t>$’000</w:t>
            </w:r>
          </w:p>
        </w:tc>
        <w:tc>
          <w:tcPr>
            <w:tcW w:w="1120" w:type="dxa"/>
            <w:vAlign w:val="bottom"/>
          </w:tcPr>
          <w:p>
            <w:pPr>
              <w:jc w:val="right"/>
              <w:ind w:right="212"/>
              <w:spacing w:after="0"/>
              <w:rPr>
                <w:sz w:val="20"/>
                <w:szCs w:val="20"/>
                <w:color w:val="auto"/>
              </w:rPr>
            </w:pPr>
            <w:r>
              <w:rPr>
                <w:rFonts w:ascii="Arial" w:cs="Arial" w:eastAsia="Arial" w:hAnsi="Arial"/>
                <w:sz w:val="18"/>
                <w:szCs w:val="18"/>
                <w:b w:val="1"/>
                <w:bCs w:val="1"/>
                <w:color w:val="auto"/>
              </w:rPr>
              <w:t>$’000</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2"/>
        </w:trPr>
        <w:tc>
          <w:tcPr>
            <w:tcW w:w="250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2011</w:t>
            </w: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4,113</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75,511</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26,186</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74,557</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56,444</w:t>
            </w: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23,320</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44</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260,175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Additions</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205</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1,728</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7,977</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3,185</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1,568</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14,663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(57)</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Arising on acquisition</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278</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455</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277</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11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99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(691)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(636)</w:t>
            </w:r>
          </w:p>
        </w:tc>
        <w:tc>
          <w:tcPr>
            <w:tcW w:w="11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2011</w:t>
            </w:r>
          </w:p>
        </w:tc>
        <w:tc>
          <w:tcPr>
            <w:tcW w:w="11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4,212</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73,240</w:t>
            </w:r>
          </w:p>
        </w:tc>
        <w:tc>
          <w:tcPr>
            <w:tcW w:w="1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27,342</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79,925</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58,096</w:t>
            </w:r>
          </w:p>
        </w:tc>
        <w:tc>
          <w:tcPr>
            <w:tcW w:w="12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24,195</w:t>
            </w:r>
          </w:p>
        </w:tc>
        <w:tc>
          <w:tcPr>
            <w:tcW w:w="11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43</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267,053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At 1 January 2011</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12,993</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13,996</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54,827</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24,572</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13,665</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22</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120,075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w:t>
            </w: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5,143</w:t>
            </w: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tcPr>
          <w:p>
            <w:pPr>
              <w:spacing w:after="0" w:line="200" w:lineRule="exact"/>
              <w:rPr>
                <w:sz w:val="20"/>
                <w:szCs w:val="20"/>
                <w:color w:val="auto"/>
              </w:rPr>
            </w:pPr>
            <w:r>
              <w:rPr>
                <w:rFonts w:ascii="Arial" w:cs="Arial" w:eastAsia="Arial" w:hAnsi="Arial"/>
                <w:sz w:val="18"/>
                <w:szCs w:val="18"/>
                <w:color w:val="auto"/>
              </w:rPr>
              <w:t>Reclassification to Intangible</w:t>
            </w: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50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(671)</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Charge for year</w:t>
            </w: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1,972</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3,517</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8,417</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6,072</w:t>
            </w: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3,186</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23,169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Eliminated on disposal</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(136)</w:t>
            </w:r>
          </w:p>
        </w:tc>
        <w:tc>
          <w:tcPr>
            <w:tcW w:w="1060" w:type="dxa"/>
            <w:vAlign w:val="bottom"/>
          </w:tcPr>
          <w:p>
            <w:pPr>
              <w:jc w:val="right"/>
              <w:spacing w:after="0"/>
              <w:rPr>
                <w:sz w:val="20"/>
                <w:szCs w:val="20"/>
                <w:color w:val="auto"/>
              </w:rPr>
            </w:pPr>
            <w:r>
              <w:rPr>
                <w:rFonts w:ascii="Arial" w:cs="Arial" w:eastAsia="Arial" w:hAnsi="Arial"/>
                <w:sz w:val="18"/>
                <w:szCs w:val="18"/>
                <w:color w:val="auto"/>
              </w:rPr>
              <w:t>(968)</w:t>
            </w: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(57)</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11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(371)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(445)</w:t>
            </w:r>
          </w:p>
        </w:tc>
        <w:tc>
          <w:tcPr>
            <w:tcW w:w="11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12"/>
        </w:trPr>
        <w:tc>
          <w:tcPr>
            <w:tcW w:w="250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2011</w:t>
            </w: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8,668</w:t>
            </w: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17,006</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60,733</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34,882</w:t>
            </w:r>
          </w:p>
        </w:tc>
        <w:tc>
          <w:tcPr>
            <w:tcW w:w="12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16,349</w:t>
            </w: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26</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137,664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2011</w:t>
            </w: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4,212</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64,572</w:t>
            </w: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10,336</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19,192</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23,214</w:t>
            </w:r>
          </w:p>
        </w:tc>
        <w:tc>
          <w:tcPr>
            <w:tcW w:w="12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7,846</w:t>
            </w: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17</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129,389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2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31 December 2010</w:t>
            </w:r>
          </w:p>
        </w:tc>
        <w:tc>
          <w:tcPr>
            <w:tcW w:w="11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4,113</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62,518</w:t>
            </w:r>
          </w:p>
        </w:tc>
        <w:tc>
          <w:tcPr>
            <w:tcW w:w="1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12,190</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19,730</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31,872</w:t>
            </w:r>
          </w:p>
        </w:tc>
        <w:tc>
          <w:tcPr>
            <w:tcW w:w="12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9,655</w:t>
            </w:r>
          </w:p>
        </w:tc>
        <w:tc>
          <w:tcPr>
            <w:tcW w:w="11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20</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140,100</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at 31 December 2011 includes $nil (31 December 2010: $825,000) relating to computer equipment held under finance leases. Related accumulated depreciation amounted to $nil (31 December 2010: $518,000). Depreciation expense of $23.2 million (31 December 2010: $25.8million) has been charged in ‘other operating expenses’ in the income statement.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20" w:type="dxa"/>
            <w:vAlign w:val="bottom"/>
            <w:gridSpan w:val="3"/>
          </w:tcPr>
          <w:p>
            <w:pPr>
              <w:spacing w:after="0"/>
              <w:rPr>
                <w:sz w:val="20"/>
                <w:szCs w:val="20"/>
                <w:color w:val="auto"/>
              </w:rPr>
            </w:pPr>
            <w:r>
              <w:rPr>
                <w:rFonts w:ascii="Arial" w:cs="Arial" w:eastAsia="Arial" w:hAnsi="Arial"/>
                <w:sz w:val="18"/>
                <w:szCs w:val="18"/>
                <w:b w:val="1"/>
                <w:bCs w:val="1"/>
                <w:color w:val="auto"/>
                <w:w w:val="87"/>
              </w:rPr>
              <w:t>12. Intangible assets – goodwill and other</w:t>
            </w: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b w:val="1"/>
                <w:bCs w:val="1"/>
                <w:color w:val="auto"/>
              </w:rPr>
              <w:t>Computer</w:t>
            </w: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Customer</w:t>
            </w: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Volunteer</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Order</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w w:val="94"/>
              </w:rPr>
              <w:t>Technology</w:t>
            </w:r>
          </w:p>
        </w:tc>
        <w:tc>
          <w:tcPr>
            <w:tcW w:w="110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Non-</w:t>
            </w: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b w:val="1"/>
                <w:bCs w:val="1"/>
                <w:color w:val="auto"/>
              </w:rPr>
              <w:t>Software</w:t>
            </w: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w w:val="86"/>
              </w:rPr>
              <w:t>Relationships</w:t>
            </w: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List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Backlog</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Asset</w:t>
            </w: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w w:val="97"/>
              </w:rPr>
              <w:t>Tradename</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w w:val="98"/>
              </w:rPr>
              <w:t>Competes</w:t>
            </w:r>
          </w:p>
        </w:tc>
        <w:tc>
          <w:tcPr>
            <w:tcW w:w="1100" w:type="dxa"/>
            <w:vAlign w:val="bottom"/>
          </w:tcPr>
          <w:p>
            <w:pPr>
              <w:jc w:val="right"/>
              <w:ind w:right="172"/>
              <w:spacing w:after="0"/>
              <w:rPr>
                <w:sz w:val="20"/>
                <w:szCs w:val="20"/>
                <w:color w:val="auto"/>
              </w:rPr>
            </w:pPr>
            <w:r>
              <w:rPr>
                <w:rFonts w:ascii="Arial" w:cs="Arial" w:eastAsia="Arial" w:hAnsi="Arial"/>
                <w:sz w:val="18"/>
                <w:szCs w:val="18"/>
                <w:b w:val="1"/>
                <w:bCs w:val="1"/>
                <w:color w:val="auto"/>
              </w:rPr>
              <w:t>Goodwill</w:t>
            </w: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1180" w:type="dxa"/>
            <w:vAlign w:val="bottom"/>
          </w:tcPr>
          <w:p>
            <w:pPr>
              <w:jc w:val="right"/>
              <w:ind w:right="132"/>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$’000</w:t>
            </w: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$’000</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$’000</w:t>
            </w:r>
          </w:p>
        </w:tc>
        <w:tc>
          <w:tcPr>
            <w:tcW w:w="1100" w:type="dxa"/>
            <w:vAlign w:val="bottom"/>
          </w:tcPr>
          <w:p>
            <w:pPr>
              <w:jc w:val="right"/>
              <w:ind w:right="172"/>
              <w:spacing w:after="0"/>
              <w:rPr>
                <w:sz w:val="20"/>
                <w:szCs w:val="20"/>
                <w:color w:val="auto"/>
              </w:rPr>
            </w:pPr>
            <w:r>
              <w:rPr>
                <w:rFonts w:ascii="Arial" w:cs="Arial" w:eastAsia="Arial" w:hAnsi="Arial"/>
                <w:sz w:val="18"/>
                <w:szCs w:val="18"/>
                <w:b w:val="1"/>
                <w:bCs w:val="1"/>
                <w:color w:val="auto"/>
              </w:rPr>
              <w:t>$’000</w:t>
            </w: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2"/>
        </w:trPr>
        <w:tc>
          <w:tcPr>
            <w:tcW w:w="194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2012</w:t>
            </w: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95,477</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23,646</w:t>
            </w: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1,325</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3,151</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10,202</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1,239</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267,402</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402,442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Additions</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16,932</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16,932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Disposal</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(8,838)</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Arising on acquisition</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9</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11,998</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781</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489</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55,759</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69,036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w w:val="98"/>
              </w:rPr>
              <w:t>Prior period acquisitions</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1,383</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20" w:type="dxa"/>
            <w:vAlign w:val="bottom"/>
          </w:tcPr>
          <w:p>
            <w:pPr>
              <w:spacing w:after="0" w:line="200" w:lineRule="exact"/>
              <w:rPr>
                <w:sz w:val="20"/>
                <w:szCs w:val="20"/>
                <w:color w:val="auto"/>
              </w:rPr>
            </w:pPr>
            <w:r>
              <w:rPr>
                <w:rFonts w:ascii="Arial" w:cs="Arial" w:eastAsia="Arial" w:hAnsi="Arial"/>
                <w:sz w:val="18"/>
                <w:szCs w:val="18"/>
                <w:color w:val="auto"/>
              </w:rPr>
              <w:t>Foreign exchange</w:t>
            </w: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940" w:type="dxa"/>
            <w:vAlign w:val="bottom"/>
            <w:gridSpan w:val="2"/>
          </w:tcPr>
          <w:p>
            <w:pPr>
              <w:spacing w:after="0"/>
              <w:rPr>
                <w:sz w:val="20"/>
                <w:szCs w:val="20"/>
                <w:color w:val="auto"/>
              </w:rPr>
            </w:pPr>
            <w:r>
              <w:rPr>
                <w:rFonts w:ascii="Arial" w:cs="Arial" w:eastAsia="Arial" w:hAnsi="Arial"/>
                <w:sz w:val="18"/>
                <w:szCs w:val="18"/>
                <w:color w:val="auto"/>
              </w:rPr>
              <w:t>movement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1,243</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459</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182</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4,907</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6,866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31 December 2012</w:t>
            </w: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104,823</w:t>
            </w: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36,103</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1,325</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3,984</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10,384</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1,261</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490</w:t>
            </w:r>
          </w:p>
        </w:tc>
        <w:tc>
          <w:tcPr>
            <w:tcW w:w="11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329,451</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487,821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b w:val="1"/>
                <w:bCs w:val="1"/>
                <w:color w:val="auto"/>
              </w:rPr>
              <w:t>Amortisation</w:t>
            </w: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2012</w:t>
            </w: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56,406</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7,626</w:t>
            </w: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841</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2,084</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623</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126</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67,706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Amortised in the year</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13,378</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4,087</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217</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1,556</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1,354</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274</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126</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20,992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Disposal</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(8,838)</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20" w:type="dxa"/>
            <w:vAlign w:val="bottom"/>
          </w:tcPr>
          <w:p>
            <w:pPr>
              <w:spacing w:after="0" w:line="200" w:lineRule="exact"/>
              <w:rPr>
                <w:sz w:val="20"/>
                <w:szCs w:val="20"/>
                <w:color w:val="auto"/>
              </w:rPr>
            </w:pPr>
            <w:r>
              <w:rPr>
                <w:rFonts w:ascii="Arial" w:cs="Arial" w:eastAsia="Arial" w:hAnsi="Arial"/>
                <w:sz w:val="18"/>
                <w:szCs w:val="18"/>
                <w:color w:val="auto"/>
              </w:rPr>
              <w:t>Foreign exchange</w:t>
            </w: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940" w:type="dxa"/>
            <w:vAlign w:val="bottom"/>
            <w:gridSpan w:val="2"/>
          </w:tcPr>
          <w:p>
            <w:pPr>
              <w:spacing w:after="0"/>
              <w:rPr>
                <w:sz w:val="20"/>
                <w:szCs w:val="20"/>
                <w:color w:val="auto"/>
              </w:rPr>
            </w:pPr>
            <w:r>
              <w:rPr>
                <w:rFonts w:ascii="Arial" w:cs="Arial" w:eastAsia="Arial" w:hAnsi="Arial"/>
                <w:sz w:val="18"/>
                <w:szCs w:val="18"/>
                <w:color w:val="auto"/>
              </w:rPr>
              <w:t>movement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931</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97</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2012</w:t>
            </w:r>
          </w:p>
        </w:tc>
        <w:tc>
          <w:tcPr>
            <w:tcW w:w="11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61,877</w:t>
            </w: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11,810</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1,058</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3,678</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2,019</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408</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126</w:t>
            </w:r>
          </w:p>
        </w:tc>
        <w:tc>
          <w:tcPr>
            <w:tcW w:w="11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80,976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1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2012</w:t>
            </w: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42,946</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24,293</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267</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306</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8,365</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853</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364</w:t>
            </w:r>
          </w:p>
        </w:tc>
        <w:tc>
          <w:tcPr>
            <w:tcW w:w="11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329,451</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406,845</w:t>
            </w:r>
          </w:p>
        </w:tc>
        <w:tc>
          <w:tcPr>
            <w:tcW w:w="0" w:type="dxa"/>
            <w:vAlign w:val="bottom"/>
          </w:tcPr>
          <w:p>
            <w:pPr>
              <w:spacing w:after="0"/>
              <w:rPr>
                <w:sz w:val="1"/>
                <w:szCs w:val="1"/>
                <w:color w:val="auto"/>
              </w:rPr>
            </w:pPr>
          </w:p>
        </w:tc>
      </w:tr>
      <w:tr>
        <w:trPr>
          <w:trHeight w:val="205"/>
        </w:trPr>
        <w:tc>
          <w:tcPr>
            <w:tcW w:w="1940" w:type="dxa"/>
            <w:vAlign w:val="bottom"/>
            <w:gridSpan w:val="2"/>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31 December 2011</w:t>
            </w:r>
          </w:p>
        </w:tc>
        <w:tc>
          <w:tcPr>
            <w:tcW w:w="11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39,071</w:t>
            </w: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16,020</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484</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1,067</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9,579</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1,113</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267,402</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334,736</w:t>
            </w:r>
          </w:p>
        </w:tc>
        <w:tc>
          <w:tcPr>
            <w:tcW w:w="0" w:type="dxa"/>
            <w:vAlign w:val="bottom"/>
          </w:tcPr>
          <w:p>
            <w:pPr>
              <w:spacing w:after="0"/>
              <w:rPr>
                <w:sz w:val="1"/>
                <w:szCs w:val="1"/>
                <w:color w:val="auto"/>
              </w:rPr>
            </w:pPr>
          </w:p>
        </w:tc>
      </w:tr>
      <w:tr>
        <w:trPr>
          <w:trHeight w:val="20"/>
        </w:trPr>
        <w:tc>
          <w:tcPr>
            <w:tcW w:w="10580" w:type="dxa"/>
            <w:vAlign w:val="bottom"/>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056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w w:val="90"/>
              </w:rPr>
              <w:t>Amortisation expense of $21.0 million (31 December 2011: $15.4 million) has been charged in ‘other operating expenses’ in the income statement.</w:t>
            </w: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84"/>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jc w:val="right"/>
              <w:ind w:right="372"/>
              <w:spacing w:after="0"/>
              <w:rPr>
                <w:sz w:val="20"/>
                <w:szCs w:val="20"/>
                <w:color w:val="auto"/>
              </w:rPr>
            </w:pPr>
            <w:r>
              <w:rPr>
                <w:rFonts w:ascii="Arial" w:cs="Arial" w:eastAsia="Arial" w:hAnsi="Arial"/>
                <w:sz w:val="18"/>
                <w:szCs w:val="18"/>
                <w:color w:val="auto"/>
              </w:rPr>
              <w:t>65</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Intangible assets – goodwill and other </w:t>
      </w:r>
      <w:r>
        <w:rPr>
          <w:rFonts w:ascii="Arial" w:cs="Arial" w:eastAsia="Arial" w:hAnsi="Arial"/>
          <w:sz w:val="18"/>
          <w:szCs w:val="18"/>
          <w:b w:val="1"/>
          <w:bCs w:val="1"/>
          <w:i w:val="1"/>
          <w:iCs w:val="1"/>
          <w:color w:val="auto"/>
        </w:rPr>
        <w:t>(continued)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w w:val="98"/>
              </w:rPr>
              <w:t>Computer</w:t>
            </w:r>
          </w:p>
        </w:tc>
        <w:tc>
          <w:tcPr>
            <w:tcW w:w="1260" w:type="dxa"/>
            <w:vAlign w:val="bottom"/>
          </w:tcPr>
          <w:p>
            <w:pPr>
              <w:jc w:val="right"/>
              <w:ind w:right="72"/>
              <w:spacing w:after="0"/>
              <w:rPr>
                <w:sz w:val="20"/>
                <w:szCs w:val="20"/>
                <w:color w:val="auto"/>
              </w:rPr>
            </w:pPr>
            <w:r>
              <w:rPr>
                <w:rFonts w:ascii="Arial" w:cs="Arial" w:eastAsia="Arial" w:hAnsi="Arial"/>
                <w:sz w:val="18"/>
                <w:szCs w:val="18"/>
                <w:b w:val="1"/>
                <w:bCs w:val="1"/>
                <w:color w:val="auto"/>
              </w:rPr>
              <w:t>Customer</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w w:val="98"/>
              </w:rPr>
              <w:t>Volunteer</w:t>
            </w:r>
          </w:p>
        </w:tc>
        <w:tc>
          <w:tcPr>
            <w:tcW w:w="980" w:type="dxa"/>
            <w:vAlign w:val="bottom"/>
          </w:tcPr>
          <w:p>
            <w:pPr>
              <w:jc w:val="right"/>
              <w:ind w:right="72"/>
              <w:spacing w:after="0"/>
              <w:rPr>
                <w:sz w:val="20"/>
                <w:szCs w:val="20"/>
                <w:color w:val="auto"/>
              </w:rPr>
            </w:pPr>
            <w:r>
              <w:rPr>
                <w:rFonts w:ascii="Arial" w:cs="Arial" w:eastAsia="Arial" w:hAnsi="Arial"/>
                <w:sz w:val="18"/>
                <w:szCs w:val="18"/>
                <w:b w:val="1"/>
                <w:bCs w:val="1"/>
                <w:color w:val="auto"/>
              </w:rPr>
              <w:t>Order</w:t>
            </w: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w w:val="91"/>
              </w:rPr>
              <w:t>Technology</w:t>
            </w: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Software</w:t>
            </w:r>
          </w:p>
        </w:tc>
        <w:tc>
          <w:tcPr>
            <w:tcW w:w="1260" w:type="dxa"/>
            <w:vAlign w:val="bottom"/>
          </w:tcPr>
          <w:p>
            <w:pPr>
              <w:jc w:val="right"/>
              <w:ind w:right="72"/>
              <w:spacing w:after="0"/>
              <w:rPr>
                <w:sz w:val="20"/>
                <w:szCs w:val="20"/>
                <w:color w:val="auto"/>
              </w:rPr>
            </w:pPr>
            <w:r>
              <w:rPr>
                <w:rFonts w:ascii="Arial" w:cs="Arial" w:eastAsia="Arial" w:hAnsi="Arial"/>
                <w:sz w:val="18"/>
                <w:szCs w:val="18"/>
                <w:b w:val="1"/>
                <w:bCs w:val="1"/>
                <w:color w:val="auto"/>
                <w:w w:val="91"/>
              </w:rPr>
              <w:t>Relationships</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List</w:t>
            </w:r>
          </w:p>
        </w:tc>
        <w:tc>
          <w:tcPr>
            <w:tcW w:w="980" w:type="dxa"/>
            <w:vAlign w:val="bottom"/>
          </w:tcPr>
          <w:p>
            <w:pPr>
              <w:jc w:val="right"/>
              <w:ind w:right="72"/>
              <w:spacing w:after="0"/>
              <w:rPr>
                <w:sz w:val="20"/>
                <w:szCs w:val="20"/>
                <w:color w:val="auto"/>
              </w:rPr>
            </w:pPr>
            <w:r>
              <w:rPr>
                <w:rFonts w:ascii="Arial" w:cs="Arial" w:eastAsia="Arial" w:hAnsi="Arial"/>
                <w:sz w:val="18"/>
                <w:szCs w:val="18"/>
                <w:b w:val="1"/>
                <w:bCs w:val="1"/>
                <w:color w:val="auto"/>
              </w:rPr>
              <w:t>Backlog</w:t>
            </w: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Asset</w:t>
            </w:r>
          </w:p>
        </w:tc>
        <w:tc>
          <w:tcPr>
            <w:tcW w:w="1140" w:type="dxa"/>
            <w:vAlign w:val="bottom"/>
          </w:tcPr>
          <w:p>
            <w:pPr>
              <w:jc w:val="right"/>
              <w:ind w:right="112"/>
              <w:spacing w:after="0"/>
              <w:rPr>
                <w:sz w:val="20"/>
                <w:szCs w:val="20"/>
                <w:color w:val="auto"/>
              </w:rPr>
            </w:pPr>
            <w:r>
              <w:rPr>
                <w:rFonts w:ascii="Arial" w:cs="Arial" w:eastAsia="Arial" w:hAnsi="Arial"/>
                <w:sz w:val="18"/>
                <w:szCs w:val="18"/>
                <w:b w:val="1"/>
                <w:bCs w:val="1"/>
                <w:color w:val="auto"/>
                <w:w w:val="95"/>
              </w:rPr>
              <w:t>Tradename</w:t>
            </w:r>
          </w:p>
        </w:tc>
        <w:tc>
          <w:tcPr>
            <w:tcW w:w="1060" w:type="dxa"/>
            <w:vAlign w:val="bottom"/>
          </w:tcPr>
          <w:p>
            <w:pPr>
              <w:jc w:val="right"/>
              <w:ind w:right="172"/>
              <w:spacing w:after="0"/>
              <w:rPr>
                <w:sz w:val="20"/>
                <w:szCs w:val="20"/>
                <w:color w:val="auto"/>
              </w:rPr>
            </w:pPr>
            <w:r>
              <w:rPr>
                <w:rFonts w:ascii="Arial" w:cs="Arial" w:eastAsia="Arial" w:hAnsi="Arial"/>
                <w:sz w:val="18"/>
                <w:szCs w:val="18"/>
                <w:b w:val="1"/>
                <w:bCs w:val="1"/>
                <w:color w:val="auto"/>
              </w:rPr>
              <w:t>Goodwill</w:t>
            </w: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72"/>
              <w:spacing w:after="0"/>
              <w:rPr>
                <w:sz w:val="20"/>
                <w:szCs w:val="20"/>
                <w:color w:val="auto"/>
              </w:rPr>
            </w:pPr>
            <w:r>
              <w:rPr>
                <w:rFonts w:ascii="Arial" w:cs="Arial" w:eastAsia="Arial" w:hAnsi="Arial"/>
                <w:sz w:val="18"/>
                <w:szCs w:val="18"/>
                <w:b w:val="1"/>
                <w:bCs w:val="1"/>
                <w:color w:val="auto"/>
              </w:rPr>
              <w:t>$’000</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980" w:type="dxa"/>
            <w:vAlign w:val="bottom"/>
          </w:tcPr>
          <w:p>
            <w:pPr>
              <w:jc w:val="right"/>
              <w:ind w:right="72"/>
              <w:spacing w:after="0"/>
              <w:rPr>
                <w:sz w:val="20"/>
                <w:szCs w:val="20"/>
                <w:color w:val="auto"/>
              </w:rPr>
            </w:pPr>
            <w:r>
              <w:rPr>
                <w:rFonts w:ascii="Arial" w:cs="Arial" w:eastAsia="Arial" w:hAnsi="Arial"/>
                <w:sz w:val="18"/>
                <w:szCs w:val="18"/>
                <w:b w:val="1"/>
                <w:bCs w:val="1"/>
                <w:color w:val="auto"/>
              </w:rPr>
              <w:t>$’000</w:t>
            </w: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$’000</w:t>
            </w:r>
          </w:p>
        </w:tc>
        <w:tc>
          <w:tcPr>
            <w:tcW w:w="114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060" w:type="dxa"/>
            <w:vAlign w:val="bottom"/>
          </w:tcPr>
          <w:p>
            <w:pPr>
              <w:jc w:val="right"/>
              <w:ind w:right="172"/>
              <w:spacing w:after="0"/>
              <w:rPr>
                <w:sz w:val="20"/>
                <w:szCs w:val="20"/>
                <w:color w:val="auto"/>
              </w:rPr>
            </w:pPr>
            <w:r>
              <w:rPr>
                <w:rFonts w:ascii="Arial" w:cs="Arial" w:eastAsia="Arial" w:hAnsi="Arial"/>
                <w:sz w:val="18"/>
                <w:szCs w:val="18"/>
                <w:b w:val="1"/>
                <w:bCs w:val="1"/>
                <w:color w:val="auto"/>
              </w:rPr>
              <w:t>$’000</w:t>
            </w: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2"/>
        </w:trPr>
        <w:tc>
          <w:tcPr>
            <w:tcW w:w="300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2011</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77,790</w:t>
            </w: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12,288</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1,325</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1,470</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189,869</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282,742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Additions</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20,844</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20,844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Disposal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Arising on acquisition</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35</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11,891</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1,790</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11,169</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1,357</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83,656</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109,898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(533)</w:t>
            </w:r>
          </w:p>
        </w:tc>
        <w:tc>
          <w:tcPr>
            <w:tcW w:w="10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(118)</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(6,123)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31 December 2011</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95,477</w:t>
            </w:r>
          </w:p>
        </w:tc>
        <w:tc>
          <w:tcPr>
            <w:tcW w:w="1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23,646</w:t>
            </w:r>
          </w:p>
        </w:tc>
        <w:tc>
          <w:tcPr>
            <w:tcW w:w="10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1,325</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3,151</w:t>
            </w: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10,202</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1,239</w:t>
            </w:r>
          </w:p>
        </w:tc>
        <w:tc>
          <w:tcPr>
            <w:tcW w:w="10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267,402</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402,442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Amortisation</w:t>
            </w:r>
          </w:p>
        </w:tc>
        <w:tc>
          <w:tcPr>
            <w:tcW w:w="1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At 1 January 2011</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47,027</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5,194</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624</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983</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53,828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1"/>
              </w:rPr>
              <w:t>Reclassification from Property, Plant and</w:t>
            </w:r>
          </w:p>
        </w:tc>
        <w:tc>
          <w:tcPr>
            <w:tcW w:w="10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671</w:t>
            </w: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Amortised in the year</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10,866</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2,483</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217</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1,139</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672</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136</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15,513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Disposal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w:t>
            </w: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2011</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56,406</w:t>
            </w: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7,626</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841</w:t>
            </w: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2,084</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623</w:t>
            </w: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126</w:t>
            </w: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67,706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2011</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39,071</w:t>
            </w:r>
          </w:p>
        </w:tc>
        <w:tc>
          <w:tcPr>
            <w:tcW w:w="1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16,020</w:t>
            </w:r>
          </w:p>
        </w:tc>
        <w:tc>
          <w:tcPr>
            <w:tcW w:w="10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484</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1,067</w:t>
            </w: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9,579</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1,113</w:t>
            </w:r>
          </w:p>
        </w:tc>
        <w:tc>
          <w:tcPr>
            <w:tcW w:w="10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267,402</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334,736</w:t>
            </w:r>
          </w:p>
        </w:tc>
        <w:tc>
          <w:tcPr>
            <w:tcW w:w="0" w:type="dxa"/>
            <w:vAlign w:val="bottom"/>
          </w:tcPr>
          <w:p>
            <w:pPr>
              <w:spacing w:after="0"/>
              <w:rPr>
                <w:sz w:val="1"/>
                <w:szCs w:val="1"/>
                <w:color w:val="auto"/>
              </w:rPr>
            </w:pPr>
          </w:p>
        </w:tc>
      </w:tr>
      <w:tr>
        <w:trPr>
          <w:trHeight w:val="205"/>
        </w:trPr>
        <w:tc>
          <w:tcPr>
            <w:tcW w:w="300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31 December 2010</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30,763</w:t>
            </w: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7,094</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701</w:t>
            </w: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487</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189,869</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228,914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7"/>
          <w:szCs w:val="17"/>
          <w:color w:val="auto"/>
        </w:rPr>
        <w:t>Amortisation expense of $15.4 million (31 December 2010: $8.0 million) has been charged in ‘other operating expenses’ in the income statement.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12" w:lineRule="exact"/>
        <w:rPr>
          <w:sz w:val="20"/>
          <w:szCs w:val="20"/>
          <w:color w:val="auto"/>
        </w:rPr>
      </w:pPr>
    </w:p>
    <w:p>
      <w:pPr>
        <w:ind w:right="7420" w:firstLine="6"/>
        <w:spacing w:after="0" w:line="510" w:lineRule="auto"/>
        <w:tabs>
          <w:tab w:leader="none" w:pos="26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 goodwill and other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Impairment review of goodwill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generating units</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Goodwill acquired through business combinations has been allocated to individual cash-generating units (“CGU’s”) that are expected to benefit from the combination. The CGU’s identified represent the lowest level within the Group at which goodwill is monitored and are not larger than the operating segments determined in accordance with IFRS 8 </w:t>
      </w:r>
      <w:r>
        <w:rPr>
          <w:rFonts w:ascii="Arial" w:cs="Arial" w:eastAsia="Arial" w:hAnsi="Arial"/>
          <w:sz w:val="18"/>
          <w:szCs w:val="18"/>
          <w:i w:val="1"/>
          <w:iCs w:val="1"/>
          <w:color w:val="auto"/>
        </w:rPr>
        <w:t>Operating Segments</w:t>
      </w:r>
      <w:r>
        <w:rPr>
          <w:rFonts w:ascii="Arial" w:cs="Arial" w:eastAsia="Arial" w:hAnsi="Arial"/>
          <w:sz w:val="18"/>
          <w:szCs w:val="18"/>
          <w:color w:val="auto"/>
        </w:rPr>
        <w: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auto"/>
                <w:w w:val="94"/>
              </w:rPr>
              <w:t xml:space="preserve">The Group has identified two CGU’s in accordance with the provisions of IAS 36 </w:t>
            </w:r>
            <w:r>
              <w:rPr>
                <w:rFonts w:ascii="Arial" w:cs="Arial" w:eastAsia="Arial" w:hAnsi="Arial"/>
                <w:sz w:val="18"/>
                <w:szCs w:val="18"/>
                <w:i w:val="1"/>
                <w:iCs w:val="1"/>
                <w:color w:val="auto"/>
                <w:w w:val="94"/>
              </w:rPr>
              <w:t>Impairment of Assets</w:t>
            </w:r>
            <w:r>
              <w:rPr>
                <w:rFonts w:ascii="Arial" w:cs="Arial" w:eastAsia="Arial" w:hAnsi="Arial"/>
                <w:sz w:val="18"/>
                <w:szCs w:val="18"/>
                <w:color w:val="auto"/>
                <w:w w:val="94"/>
              </w:rPr>
              <w:t xml:space="preserve"> as follows:</w:t>
            </w:r>
          </w:p>
        </w:tc>
        <w:tc>
          <w:tcPr>
            <w:tcW w:w="16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33"/>
        </w:trPr>
        <w:tc>
          <w:tcPr>
            <w:tcW w:w="70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b w:val="1"/>
                <w:bCs w:val="1"/>
                <w:color w:val="auto"/>
              </w:rPr>
              <w:t>31 December</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r>
      <w:tr>
        <w:trPr>
          <w:trHeight w:val="212"/>
        </w:trPr>
        <w:tc>
          <w:tcPr>
            <w:tcW w:w="70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b w:val="1"/>
                <w:bCs w:val="1"/>
                <w:color w:val="auto"/>
              </w:rPr>
              <w:t>2012</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2011</w:t>
            </w:r>
          </w:p>
        </w:tc>
      </w:tr>
      <w:tr>
        <w:trPr>
          <w:trHeight w:val="229"/>
        </w:trPr>
        <w:tc>
          <w:tcPr>
            <w:tcW w:w="70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b w:val="1"/>
                <w:bCs w:val="1"/>
                <w:color w:val="auto"/>
              </w:rPr>
              <w:t>$’000</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$’000</w:t>
            </w:r>
          </w:p>
        </w:tc>
      </w:tr>
      <w:tr>
        <w:trPr>
          <w:trHeight w:val="386"/>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Goodwill</w:t>
            </w:r>
          </w:p>
        </w:tc>
        <w:tc>
          <w:tcPr>
            <w:tcW w:w="7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2"/>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16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329,450</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267,402</w:t>
            </w:r>
          </w:p>
        </w:tc>
      </w:tr>
      <w:tr>
        <w:trPr>
          <w:trHeight w:val="219"/>
        </w:trPr>
        <w:tc>
          <w:tcPr>
            <w:tcW w:w="8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Central laboratory</w:t>
            </w:r>
          </w:p>
        </w:tc>
        <w:tc>
          <w:tcPr>
            <w:tcW w:w="1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12"/>
        </w:trPr>
        <w:tc>
          <w:tcPr>
            <w:tcW w:w="700" w:type="dxa"/>
            <w:vAlign w:val="bottom"/>
            <w:shd w:val="clear" w:color="auto" w:fill="CCEEFF"/>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2"/>
        </w:trPr>
        <w:tc>
          <w:tcPr>
            <w:tcW w:w="700" w:type="dxa"/>
            <w:vAlign w:val="bottom"/>
            <w:tcBorders>
              <w:bottom w:val="single" w:sz="8" w:color="auto"/>
            </w:tcBorders>
          </w:tcPr>
          <w:p>
            <w:pPr>
              <w:spacing w:after="0"/>
              <w:rPr>
                <w:sz w:val="18"/>
                <w:szCs w:val="18"/>
                <w:color w:val="auto"/>
              </w:rPr>
            </w:pPr>
          </w:p>
        </w:tc>
        <w:tc>
          <w:tcPr>
            <w:tcW w:w="78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329,450</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267,402</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78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An impairment charge was recorded against the carrying value of the goodwill of the Central laboratory segment in a prior period. The remaining goodwill is fully attributable to the Clinical research CGU.</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testing methodology and results</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is subject to impairment testing on an annual basis or more frequently if facts or circumstances warrant such a review. As the goodwill relating to the Central laboratory segment was fully impaired in a prior year, the 2012 impairment review consisted of a review of the goodwill applicable to the Clinical Research CGU.</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recoverable amount of the Clinical Research CGU is determined using a value-in-use computation based upon discounted net present value cash flow projections for the CGU. The cash flow projections are for a period of five years forward together with a terminal value calculated in accordance with the Gordon’s terminal value model. In calculating the terminal value a long-term growth rate of 2% has been applied to the estimated maintainable cash flow in the terminal year.</w:t>
      </w:r>
    </w:p>
    <w:p>
      <w:pPr>
        <w:spacing w:after="0" w:line="21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Management’s estimates of future cash flows are based upon current budgets and strategic plans and are reflective of anticipated growth rates within the CRO industry, expected growth in the Group’s market share and past experience. Key assumptions applied in determining expected future cash flows for these plans include management’s estimate of future profitability, replacement capital expenditure requirements, trade working capital investment needs and tax considerations. The Group’s cash flow projections are adjusted each year for actual and expected changes in performance.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Intangible assets – goodwill and other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assumptions were applied in determining the the five year projected cash flows of the Clinical Research CGU at 31 December 2012:</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00" w:type="dxa"/>
            <w:vAlign w:val="bottom"/>
          </w:tcPr>
          <w:p>
            <w:pPr>
              <w:spacing w:after="0"/>
              <w:rPr>
                <w:sz w:val="18"/>
                <w:szCs w:val="18"/>
                <w:color w:val="auto"/>
              </w:rPr>
            </w:pPr>
          </w:p>
        </w:tc>
        <w:tc>
          <w:tcPr>
            <w:tcW w:w="4040" w:type="dxa"/>
            <w:vAlign w:val="bottom"/>
          </w:tcPr>
          <w:p>
            <w:pPr>
              <w:jc w:val="right"/>
              <w:ind w:right="132"/>
              <w:spacing w:after="0"/>
              <w:rPr>
                <w:sz w:val="20"/>
                <w:szCs w:val="20"/>
                <w:color w:val="auto"/>
              </w:rPr>
            </w:pPr>
            <w:r>
              <w:rPr>
                <w:rFonts w:ascii="Arial" w:cs="Arial" w:eastAsia="Arial" w:hAnsi="Arial"/>
                <w:sz w:val="18"/>
                <w:szCs w:val="18"/>
                <w:b w:val="1"/>
                <w:bCs w:val="1"/>
                <w:color w:val="auto"/>
              </w:rPr>
              <w:t>31 December</w:t>
            </w:r>
          </w:p>
        </w:tc>
        <w:tc>
          <w:tcPr>
            <w:tcW w:w="118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29"/>
        </w:trPr>
        <w:tc>
          <w:tcPr>
            <w:tcW w:w="6200" w:type="dxa"/>
            <w:vAlign w:val="bottom"/>
          </w:tcPr>
          <w:p>
            <w:pPr>
              <w:spacing w:after="0"/>
              <w:rPr>
                <w:sz w:val="19"/>
                <w:szCs w:val="19"/>
                <w:color w:val="auto"/>
              </w:rPr>
            </w:pPr>
          </w:p>
        </w:tc>
        <w:tc>
          <w:tcPr>
            <w:tcW w:w="4040" w:type="dxa"/>
            <w:vAlign w:val="bottom"/>
          </w:tcPr>
          <w:p>
            <w:pPr>
              <w:jc w:val="right"/>
              <w:ind w:right="132"/>
              <w:spacing w:after="0"/>
              <w:rPr>
                <w:sz w:val="20"/>
                <w:szCs w:val="20"/>
                <w:color w:val="auto"/>
              </w:rPr>
            </w:pPr>
            <w:r>
              <w:rPr>
                <w:rFonts w:ascii="Arial" w:cs="Arial" w:eastAsia="Arial" w:hAnsi="Arial"/>
                <w:sz w:val="18"/>
                <w:szCs w:val="18"/>
                <w:b w:val="1"/>
                <w:bCs w:val="1"/>
                <w:color w:val="auto"/>
              </w:rPr>
              <w:t>2012</w:t>
            </w:r>
          </w:p>
        </w:tc>
        <w:tc>
          <w:tcPr>
            <w:tcW w:w="118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1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Expected revenue growth rate</w:t>
            </w:r>
          </w:p>
        </w:tc>
        <w:tc>
          <w:tcPr>
            <w:tcW w:w="40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2"/>
        </w:trPr>
        <w:tc>
          <w:tcPr>
            <w:tcW w:w="6200" w:type="dxa"/>
            <w:vAlign w:val="bottom"/>
          </w:tcPr>
          <w:p>
            <w:pPr>
              <w:spacing w:after="0"/>
              <w:rPr>
                <w:sz w:val="20"/>
                <w:szCs w:val="20"/>
                <w:color w:val="auto"/>
              </w:rPr>
            </w:pPr>
            <w:r>
              <w:rPr>
                <w:rFonts w:ascii="Arial" w:cs="Arial" w:eastAsia="Arial" w:hAnsi="Arial"/>
                <w:sz w:val="18"/>
                <w:szCs w:val="18"/>
                <w:color w:val="auto"/>
              </w:rPr>
              <w:t>Expected growth rate for operating costs</w:t>
            </w:r>
          </w:p>
        </w:tc>
        <w:tc>
          <w:tcPr>
            <w:tcW w:w="4040" w:type="dxa"/>
            <w:vAlign w:val="bottom"/>
          </w:tcPr>
          <w:p>
            <w:pPr>
              <w:jc w:val="right"/>
              <w:ind w:right="152"/>
              <w:spacing w:after="0"/>
              <w:rPr>
                <w:sz w:val="20"/>
                <w:szCs w:val="20"/>
                <w:color w:val="auto"/>
              </w:rPr>
            </w:pPr>
            <w:r>
              <w:rPr>
                <w:rFonts w:ascii="Arial" w:cs="Arial" w:eastAsia="Arial" w:hAnsi="Arial"/>
                <w:sz w:val="18"/>
                <w:szCs w:val="18"/>
                <w:b w:val="1"/>
                <w:bCs w:val="1"/>
                <w:color w:val="auto"/>
              </w:rPr>
              <w:t>8%</w:t>
            </w: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2"/>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Expected effective tax rate</w:t>
            </w:r>
          </w:p>
        </w:tc>
        <w:tc>
          <w:tcPr>
            <w:tcW w:w="40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2"/>
        </w:trPr>
        <w:tc>
          <w:tcPr>
            <w:tcW w:w="6200" w:type="dxa"/>
            <w:vAlign w:val="bottom"/>
          </w:tcPr>
          <w:p>
            <w:pPr>
              <w:spacing w:after="0"/>
              <w:rPr>
                <w:sz w:val="20"/>
                <w:szCs w:val="20"/>
                <w:color w:val="auto"/>
              </w:rPr>
            </w:pPr>
            <w:r>
              <w:rPr>
                <w:rFonts w:ascii="Arial" w:cs="Arial" w:eastAsia="Arial" w:hAnsi="Arial"/>
                <w:sz w:val="18"/>
                <w:szCs w:val="18"/>
                <w:color w:val="auto"/>
              </w:rPr>
              <w:t>Expected movement in creditors</w:t>
            </w:r>
          </w:p>
        </w:tc>
        <w:tc>
          <w:tcPr>
            <w:tcW w:w="4040" w:type="dxa"/>
            <w:vAlign w:val="bottom"/>
          </w:tcPr>
          <w:p>
            <w:pPr>
              <w:jc w:val="right"/>
              <w:ind w:right="152"/>
              <w:spacing w:after="0"/>
              <w:rPr>
                <w:sz w:val="20"/>
                <w:szCs w:val="20"/>
                <w:color w:val="auto"/>
              </w:rPr>
            </w:pPr>
            <w:r>
              <w:rPr>
                <w:rFonts w:ascii="Arial" w:cs="Arial" w:eastAsia="Arial" w:hAnsi="Arial"/>
                <w:sz w:val="18"/>
                <w:szCs w:val="18"/>
                <w:b w:val="1"/>
                <w:bCs w:val="1"/>
                <w:color w:val="auto"/>
              </w:rPr>
              <w:t>8%</w:t>
            </w: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2"/>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Expected movement in debtors based on DSO*</w:t>
            </w:r>
          </w:p>
        </w:tc>
        <w:tc>
          <w:tcPr>
            <w:tcW w:w="40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50 days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days</w:t>
            </w:r>
          </w:p>
        </w:tc>
      </w:tr>
      <w:tr>
        <w:trPr>
          <w:trHeight w:val="212"/>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capital expenditure growth rate</w:t>
            </w:r>
          </w:p>
        </w:tc>
        <w:tc>
          <w:tcPr>
            <w:tcW w:w="4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*Days sales outstanding (DSO) is a a measure of the number of days in the period that the company takes to collect revenue</w:t>
      </w:r>
    </w:p>
    <w:p>
      <w:pPr>
        <w:spacing w:after="0" w:line="23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Expected revenue growth and the expected growth in operating costs are determined based upon the expected growth rates used in preparing the Group’s budgets and strategic plans. In estimating budgeted revenue, consideration is given to current levels of backlog (i.e. the value of new business awards not yet recognised in revenue) and the estimated timeframe over which this is expected to be recognised within revenue, together with an estimate of revenue expected to be generated from new awards not currently within backlog. In estimating revenue from new awards consideration is given to current RFP (request for proposals) volumes, expected growth rates in both the CRO industry and the Group’s market share, and past experience. In estimating budgeted operating costs, consideration is given to required staffing levels, project related costs, facility and information technology costs and other costs. Staff costs and project related costs generally increase in line with revenue and are therefore estimated based on revenue growth expectations, while facility and information costs and other costs are relatively fixed and are therefore projected based upon a lower growth rate. An expected long term average tax rate of 18% has been applied in determining the projected after tax cash flows.</w:t>
      </w:r>
    </w:p>
    <w:p>
      <w:pPr>
        <w:spacing w:after="0" w:line="213"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Working capital investment needs are determined based upon anticipated increases in the Group’s debtors and creditors. Debtors are expected to increase in line with increases in the Group’s DSO. DSO is generally a function of both the timing of contract fee instalments over a study or trial duration and credit terms afforded to individual customers. The DSO used in conducting the impairment review is reflective of current and anticipated trends in the Group’s DSO. Expected long term DSO’s for the Group are anticipated to be in the range of 45 to 55 days. Creditors’ are expected to increase in line with operating costs. Capital expenditure is expected to increase in line with the Group’s projected capital expenditure investment targets.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discount rate of 8% (2011:8%) has been applied to the projected cash flows of the Clinical Research CGU in determining its value-in-use. This rate is reflective of both the time value of money and risks specific to the CGU. The discount rate is based upon the Group’s weighted average cost of capital which has been determined by applying the Group’s long term optimal capital structure to its costs of debt and cost of equity. The Group’s cost of debt has been calculated by applying an appropriate margin over the risk free interest rate. The Group’s cost of equity has been calculated using the capital asset pricing model and includes an appropriate equity risk premium over the available risk free interest rate.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Intangible assets – goodwill and other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excess of the value-in-use of the Clinical Research CGU at 31 December 2012, based on the assumptions above, has been calculated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96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96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396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Value-in use (present value of future cash flows)</w:t>
            </w:r>
          </w:p>
        </w:tc>
        <w:tc>
          <w:tcPr>
            <w:tcW w:w="39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2,635</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Carrying amount of the Clinical Research CGU</w:t>
            </w:r>
          </w:p>
        </w:tc>
        <w:tc>
          <w:tcPr>
            <w:tcW w:w="3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708</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of value-in-use over carrying value</w:t>
            </w:r>
          </w:p>
        </w:tc>
        <w:tc>
          <w:tcPr>
            <w:tcW w:w="3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1,927</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Analysis</w:t>
      </w:r>
    </w:p>
    <w:p>
      <w:pPr>
        <w:spacing w:after="0" w:line="24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 sensitivity analysis to determine if reasonable changes in key assumptions could lead to an impairment was conducted at 31 December 2012 using the following revised assumptions: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60" w:type="dxa"/>
            <w:vAlign w:val="bottom"/>
          </w:tcPr>
          <w:p>
            <w:pPr>
              <w:spacing w:after="0"/>
              <w:rPr>
                <w:sz w:val="18"/>
                <w:szCs w:val="18"/>
                <w:color w:val="auto"/>
              </w:rPr>
            </w:pPr>
          </w:p>
        </w:tc>
        <w:tc>
          <w:tcPr>
            <w:tcW w:w="428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18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29"/>
        </w:trPr>
        <w:tc>
          <w:tcPr>
            <w:tcW w:w="5960" w:type="dxa"/>
            <w:vAlign w:val="bottom"/>
          </w:tcPr>
          <w:p>
            <w:pPr>
              <w:spacing w:after="0"/>
              <w:rPr>
                <w:sz w:val="19"/>
                <w:szCs w:val="19"/>
                <w:color w:val="auto"/>
              </w:rPr>
            </w:pPr>
          </w:p>
        </w:tc>
        <w:tc>
          <w:tcPr>
            <w:tcW w:w="428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18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13"/>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Expected revenue growth rate</w:t>
            </w:r>
          </w:p>
        </w:tc>
        <w:tc>
          <w:tcPr>
            <w:tcW w:w="428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2"/>
        </w:trPr>
        <w:tc>
          <w:tcPr>
            <w:tcW w:w="5960" w:type="dxa"/>
            <w:vAlign w:val="bottom"/>
          </w:tcPr>
          <w:p>
            <w:pPr>
              <w:spacing w:after="0"/>
              <w:rPr>
                <w:sz w:val="20"/>
                <w:szCs w:val="20"/>
                <w:color w:val="auto"/>
              </w:rPr>
            </w:pPr>
            <w:r>
              <w:rPr>
                <w:rFonts w:ascii="Arial" w:cs="Arial" w:eastAsia="Arial" w:hAnsi="Arial"/>
                <w:sz w:val="18"/>
                <w:szCs w:val="18"/>
                <w:color w:val="auto"/>
              </w:rPr>
              <w:t>Expected growth rate for operating costs</w:t>
            </w:r>
          </w:p>
        </w:tc>
        <w:tc>
          <w:tcPr>
            <w:tcW w:w="4280" w:type="dxa"/>
            <w:vAlign w:val="bottom"/>
          </w:tcPr>
          <w:p>
            <w:pPr>
              <w:jc w:val="right"/>
              <w:ind w:right="172"/>
              <w:spacing w:after="0"/>
              <w:rPr>
                <w:sz w:val="20"/>
                <w:szCs w:val="20"/>
                <w:color w:val="auto"/>
              </w:rPr>
            </w:pPr>
            <w:r>
              <w:rPr>
                <w:rFonts w:ascii="Arial" w:cs="Arial" w:eastAsia="Arial" w:hAnsi="Arial"/>
                <w:sz w:val="18"/>
                <w:szCs w:val="18"/>
                <w:b w:val="1"/>
                <w:bCs w:val="1"/>
                <w:color w:val="auto"/>
              </w:rPr>
              <w:t>6%</w:t>
            </w: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2"/>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Expected capital expenditure growth rate</w:t>
            </w:r>
          </w:p>
        </w:tc>
        <w:tc>
          <w:tcPr>
            <w:tcW w:w="428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2"/>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Discount rate</w:t>
            </w:r>
          </w:p>
        </w:tc>
        <w:tc>
          <w:tcPr>
            <w:tcW w:w="42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13%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*All other inputs remained constant.</w:t>
      </w:r>
    </w:p>
    <w:p>
      <w:pPr>
        <w:spacing w:after="0" w:line="23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revised excess of the value-in-use of the Clinical Research CGU at 31 December 2012, using the alternative assumptions above, has been calculated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366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366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366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Revised value-in use (present value of future cash flows)</w:t>
            </w:r>
          </w:p>
        </w:tc>
        <w:tc>
          <w:tcPr>
            <w:tcW w:w="36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1,047</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Carrying amount of the Clinical Research CGU</w:t>
            </w:r>
          </w:p>
        </w:tc>
        <w:tc>
          <w:tcPr>
            <w:tcW w:w="3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708</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Revised excess of value-in-use over carrying value</w:t>
            </w:r>
          </w:p>
        </w:tc>
        <w:tc>
          <w:tcPr>
            <w:tcW w:w="3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339</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As the excess of the recoverable amount over the carrying value of the cash generating unit was maintained despite changes in key assumptons, management have concluded that no reasonable change in key assumptions would result in an impairment of the Clinical Research CGU.</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Combinations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acquisitions below have been accounted for as business combinations in accordance with the revised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Acquisition of PriceSpective</w:t>
      </w:r>
    </w:p>
    <w:p>
      <w:pPr>
        <w:spacing w:after="0" w:line="24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28 February 2012 the Company acquired 100% of the common stock of PriceSpective LLC (“PriceSpective”), a strategy consulting company, for an initial cash consideration of $37.1 million. Headquartered in Philadelphia, and with offices in London, Los Angeles, San Diego, Raleigh and Boston, PriceSpective is a premier consultancy that has a strong reputation for excellence in strategic pricing, market access, Health Economics and Outcomes Research (“HEOR”), due diligence support and payer engagement services. Since PriceSpective’s incorporation in 2003, it has developed strategies for dozens of new product launches, and hundreds of development and in-market products, across 40+ disease areas. Further consideration of up to $15.0 million was payable if certain performance milestones were achieved in respect of periods up to 31 December 2012. On 13 August 2012 the Company paid $5.0 million in relation to performance milestones for the year ended 31 December 2011. At 31 December 2012 the Company has recorded a liability of $10.0 million in respect of the milestones for the year ended 31 December 2012.</w:t>
      </w:r>
    </w:p>
    <w:p>
      <w:pPr>
        <w:spacing w:after="0" w:line="20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 xml:space="preserve">The acquisition of PriceSpective has been accounted for as a business combination in accordance with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summarises the fair values of the assets acquired and the liabilities assumed:</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11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020" w:type="dxa"/>
            <w:vAlign w:val="bottom"/>
          </w:tcPr>
          <w:p>
            <w:pPr>
              <w:jc w:val="right"/>
              <w:ind w:right="112"/>
              <w:spacing w:after="0"/>
              <w:rPr>
                <w:sz w:val="20"/>
                <w:szCs w:val="20"/>
                <w:color w:val="auto"/>
              </w:rPr>
            </w:pPr>
            <w:r>
              <w:rPr>
                <w:rFonts w:ascii="Arial" w:cs="Arial" w:eastAsia="Arial" w:hAnsi="Arial"/>
                <w:sz w:val="18"/>
                <w:szCs w:val="18"/>
                <w:b w:val="1"/>
                <w:bCs w:val="1"/>
                <w:color w:val="auto"/>
              </w:rPr>
              <w:t>Carrying</w:t>
            </w:r>
          </w:p>
        </w:tc>
        <w:tc>
          <w:tcPr>
            <w:tcW w:w="1500" w:type="dxa"/>
            <w:vAlign w:val="bottom"/>
          </w:tcPr>
          <w:p>
            <w:pPr>
              <w:jc w:val="right"/>
              <w:ind w:right="312"/>
              <w:spacing w:after="0"/>
              <w:rPr>
                <w:sz w:val="20"/>
                <w:szCs w:val="20"/>
                <w:color w:val="auto"/>
              </w:rPr>
            </w:pPr>
            <w:r>
              <w:rPr>
                <w:rFonts w:ascii="Arial" w:cs="Arial" w:eastAsia="Arial" w:hAnsi="Arial"/>
                <w:sz w:val="18"/>
                <w:szCs w:val="18"/>
                <w:b w:val="1"/>
                <w:bCs w:val="1"/>
                <w:color w:val="auto"/>
              </w:rPr>
              <w:t>Fair Value</w:t>
            </w: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Fair</w:t>
            </w:r>
          </w:p>
        </w:tc>
      </w:tr>
      <w:tr>
        <w:trPr>
          <w:trHeight w:val="212"/>
        </w:trPr>
        <w:tc>
          <w:tcPr>
            <w:tcW w:w="11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020" w:type="dxa"/>
            <w:vAlign w:val="bottom"/>
          </w:tcPr>
          <w:p>
            <w:pPr>
              <w:jc w:val="right"/>
              <w:ind w:right="112"/>
              <w:spacing w:after="0"/>
              <w:rPr>
                <w:sz w:val="20"/>
                <w:szCs w:val="20"/>
                <w:color w:val="auto"/>
              </w:rPr>
            </w:pPr>
            <w:r>
              <w:rPr>
                <w:rFonts w:ascii="Arial" w:cs="Arial" w:eastAsia="Arial" w:hAnsi="Arial"/>
                <w:sz w:val="18"/>
                <w:szCs w:val="18"/>
                <w:b w:val="1"/>
                <w:bCs w:val="1"/>
                <w:color w:val="auto"/>
              </w:rPr>
              <w:t>Value</w:t>
            </w:r>
          </w:p>
        </w:tc>
        <w:tc>
          <w:tcPr>
            <w:tcW w:w="1500" w:type="dxa"/>
            <w:vAlign w:val="bottom"/>
          </w:tcPr>
          <w:p>
            <w:pPr>
              <w:jc w:val="right"/>
              <w:ind w:right="352"/>
              <w:spacing w:after="0"/>
              <w:rPr>
                <w:sz w:val="20"/>
                <w:szCs w:val="20"/>
                <w:color w:val="auto"/>
              </w:rPr>
            </w:pPr>
            <w:r>
              <w:rPr>
                <w:rFonts w:ascii="Arial" w:cs="Arial" w:eastAsia="Arial" w:hAnsi="Arial"/>
                <w:sz w:val="18"/>
                <w:szCs w:val="18"/>
                <w:b w:val="1"/>
                <w:bCs w:val="1"/>
                <w:color w:val="auto"/>
              </w:rPr>
              <w:t>Adjustment</w:t>
            </w: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Value</w:t>
            </w:r>
          </w:p>
        </w:tc>
      </w:tr>
      <w:tr>
        <w:trPr>
          <w:trHeight w:val="230"/>
        </w:trPr>
        <w:tc>
          <w:tcPr>
            <w:tcW w:w="11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02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500" w:type="dxa"/>
            <w:vAlign w:val="bottom"/>
          </w:tcPr>
          <w:p>
            <w:pPr>
              <w:jc w:val="right"/>
              <w:ind w:right="312"/>
              <w:spacing w:after="0"/>
              <w:rPr>
                <w:sz w:val="20"/>
                <w:szCs w:val="20"/>
                <w:color w:val="auto"/>
              </w:rPr>
            </w:pPr>
            <w:r>
              <w:rPr>
                <w:rFonts w:ascii="Arial" w:cs="Arial" w:eastAsia="Arial" w:hAnsi="Arial"/>
                <w:sz w:val="18"/>
                <w:szCs w:val="18"/>
                <w:b w:val="1"/>
                <w:bCs w:val="1"/>
                <w:color w:val="auto"/>
              </w:rPr>
              <w:t>$’000</w:t>
            </w: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$’000</w:t>
            </w:r>
          </w:p>
        </w:tc>
      </w:tr>
      <w:tr>
        <w:trPr>
          <w:trHeight w:val="213"/>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256</w:t>
            </w:r>
          </w:p>
        </w:tc>
        <w:tc>
          <w:tcPr>
            <w:tcW w:w="1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256</w:t>
            </w:r>
          </w:p>
        </w:tc>
      </w:tr>
      <w:tr>
        <w:trPr>
          <w:trHeight w:val="212"/>
        </w:trPr>
        <w:tc>
          <w:tcPr>
            <w:tcW w:w="1140" w:type="dxa"/>
            <w:vAlign w:val="bottom"/>
          </w:tcPr>
          <w:p>
            <w:pPr>
              <w:spacing w:after="0"/>
              <w:rPr>
                <w:sz w:val="20"/>
                <w:szCs w:val="20"/>
                <w:color w:val="auto"/>
              </w:rPr>
            </w:pPr>
            <w:r>
              <w:rPr>
                <w:rFonts w:ascii="Arial" w:cs="Arial" w:eastAsia="Arial" w:hAnsi="Arial"/>
                <w:sz w:val="18"/>
                <w:szCs w:val="18"/>
                <w:color w:val="auto"/>
              </w:rPr>
              <w:t>Goodwill</w:t>
            </w:r>
          </w:p>
        </w:tc>
        <w:tc>
          <w:tcPr>
            <w:tcW w:w="4180" w:type="dxa"/>
            <w:vAlign w:val="bottom"/>
          </w:tcPr>
          <w:p>
            <w:pPr>
              <w:spacing w:after="0"/>
              <w:rPr>
                <w:sz w:val="18"/>
                <w:szCs w:val="18"/>
                <w:color w:val="auto"/>
              </w:rPr>
            </w:pPr>
          </w:p>
        </w:tc>
        <w:tc>
          <w:tcPr>
            <w:tcW w:w="3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2"/>
              <w:spacing w:after="0"/>
              <w:rPr>
                <w:sz w:val="20"/>
                <w:szCs w:val="20"/>
                <w:color w:val="auto"/>
              </w:rPr>
            </w:pPr>
            <w:r>
              <w:rPr>
                <w:rFonts w:ascii="Arial" w:cs="Arial" w:eastAsia="Arial" w:hAnsi="Arial"/>
                <w:sz w:val="18"/>
                <w:szCs w:val="18"/>
                <w:color w:val="auto"/>
              </w:rPr>
              <w:t>42,247</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42,247</w:t>
            </w:r>
          </w:p>
        </w:tc>
      </w:tr>
      <w:tr>
        <w:trPr>
          <w:trHeight w:val="212"/>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88"/>
              </w:rPr>
              <w:t>Intangible asset</w:t>
            </w:r>
          </w:p>
        </w:tc>
        <w:tc>
          <w:tcPr>
            <w:tcW w:w="4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 customer relationships</w:t>
            </w:r>
          </w:p>
        </w:tc>
        <w:tc>
          <w:tcPr>
            <w:tcW w:w="3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10,237</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10,237</w:t>
            </w:r>
          </w:p>
        </w:tc>
      </w:tr>
      <w:tr>
        <w:trPr>
          <w:trHeight w:val="212"/>
        </w:trPr>
        <w:tc>
          <w:tcPr>
            <w:tcW w:w="1140" w:type="dxa"/>
            <w:vAlign w:val="bottom"/>
          </w:tcPr>
          <w:p>
            <w:pPr>
              <w:spacing w:after="0"/>
              <w:rPr>
                <w:sz w:val="20"/>
                <w:szCs w:val="20"/>
                <w:color w:val="auto"/>
              </w:rPr>
            </w:pPr>
            <w:r>
              <w:rPr>
                <w:rFonts w:ascii="Arial" w:cs="Arial" w:eastAsia="Arial" w:hAnsi="Arial"/>
                <w:sz w:val="18"/>
                <w:szCs w:val="18"/>
                <w:color w:val="auto"/>
                <w:w w:val="88"/>
              </w:rPr>
              <w:t>Intangible asset</w:t>
            </w:r>
          </w:p>
        </w:tc>
        <w:tc>
          <w:tcPr>
            <w:tcW w:w="4180" w:type="dxa"/>
            <w:vAlign w:val="bottom"/>
          </w:tcPr>
          <w:p>
            <w:pPr>
              <w:ind w:left="60"/>
              <w:spacing w:after="0"/>
              <w:rPr>
                <w:sz w:val="20"/>
                <w:szCs w:val="20"/>
                <w:color w:val="auto"/>
              </w:rPr>
            </w:pPr>
            <w:r>
              <w:rPr>
                <w:rFonts w:ascii="Arial" w:cs="Arial" w:eastAsia="Arial" w:hAnsi="Arial"/>
                <w:sz w:val="18"/>
                <w:szCs w:val="18"/>
                <w:color w:val="auto"/>
              </w:rPr>
              <w:t>- order backlog</w:t>
            </w:r>
          </w:p>
        </w:tc>
        <w:tc>
          <w:tcPr>
            <w:tcW w:w="3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2"/>
              <w:spacing w:after="0"/>
              <w:rPr>
                <w:sz w:val="20"/>
                <w:szCs w:val="20"/>
                <w:color w:val="auto"/>
              </w:rPr>
            </w:pPr>
            <w:r>
              <w:rPr>
                <w:rFonts w:ascii="Arial" w:cs="Arial" w:eastAsia="Arial" w:hAnsi="Arial"/>
                <w:sz w:val="18"/>
                <w:szCs w:val="18"/>
                <w:color w:val="auto"/>
              </w:rPr>
              <w:t>405</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405</w:t>
            </w:r>
          </w:p>
        </w:tc>
      </w:tr>
      <w:tr>
        <w:trPr>
          <w:trHeight w:val="212"/>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88"/>
              </w:rPr>
              <w:t>Intangible asset</w:t>
            </w:r>
          </w:p>
        </w:tc>
        <w:tc>
          <w:tcPr>
            <w:tcW w:w="4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 non-compete arrangements</w:t>
            </w:r>
          </w:p>
        </w:tc>
        <w:tc>
          <w:tcPr>
            <w:tcW w:w="3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392</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392</w:t>
            </w:r>
          </w:p>
        </w:tc>
      </w:tr>
      <w:tr>
        <w:trPr>
          <w:trHeight w:val="212"/>
        </w:trPr>
        <w:tc>
          <w:tcPr>
            <w:tcW w:w="53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020" w:type="dxa"/>
            <w:vAlign w:val="bottom"/>
          </w:tcPr>
          <w:p>
            <w:pPr>
              <w:jc w:val="right"/>
              <w:ind w:right="112"/>
              <w:spacing w:after="0"/>
              <w:rPr>
                <w:sz w:val="20"/>
                <w:szCs w:val="20"/>
                <w:color w:val="auto"/>
              </w:rPr>
            </w:pPr>
            <w:r>
              <w:rPr>
                <w:rFonts w:ascii="Arial" w:cs="Arial" w:eastAsia="Arial" w:hAnsi="Arial"/>
                <w:sz w:val="18"/>
                <w:szCs w:val="18"/>
                <w:color w:val="auto"/>
              </w:rPr>
              <w:t>2,311</w:t>
            </w:r>
          </w:p>
        </w:tc>
        <w:tc>
          <w:tcPr>
            <w:tcW w:w="15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2,311</w:t>
            </w:r>
          </w:p>
        </w:tc>
      </w:tr>
      <w:tr>
        <w:trPr>
          <w:trHeight w:val="212"/>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2,662</w:t>
            </w:r>
          </w:p>
        </w:tc>
        <w:tc>
          <w:tcPr>
            <w:tcW w:w="1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2,662</w:t>
            </w:r>
          </w:p>
        </w:tc>
      </w:tr>
      <w:tr>
        <w:trPr>
          <w:trHeight w:val="212"/>
        </w:trPr>
        <w:tc>
          <w:tcPr>
            <w:tcW w:w="5320" w:type="dxa"/>
            <w:vAlign w:val="bottom"/>
            <w:gridSpan w:val="2"/>
          </w:tcPr>
          <w:p>
            <w:pPr>
              <w:spacing w:after="0"/>
              <w:rPr>
                <w:sz w:val="20"/>
                <w:szCs w:val="20"/>
                <w:color w:val="auto"/>
              </w:rPr>
            </w:pPr>
            <w:r>
              <w:rPr>
                <w:rFonts w:ascii="Arial" w:cs="Arial" w:eastAsia="Arial" w:hAnsi="Arial"/>
                <w:sz w:val="18"/>
                <w:szCs w:val="18"/>
                <w:color w:val="auto"/>
              </w:rPr>
              <w:t>Unbilled Revenue</w:t>
            </w:r>
          </w:p>
        </w:tc>
        <w:tc>
          <w:tcPr>
            <w:tcW w:w="3020" w:type="dxa"/>
            <w:vAlign w:val="bottom"/>
          </w:tcPr>
          <w:p>
            <w:pPr>
              <w:jc w:val="right"/>
              <w:ind w:right="112"/>
              <w:spacing w:after="0"/>
              <w:rPr>
                <w:sz w:val="20"/>
                <w:szCs w:val="20"/>
                <w:color w:val="auto"/>
              </w:rPr>
            </w:pPr>
            <w:r>
              <w:rPr>
                <w:rFonts w:ascii="Arial" w:cs="Arial" w:eastAsia="Arial" w:hAnsi="Arial"/>
                <w:sz w:val="18"/>
                <w:szCs w:val="18"/>
                <w:color w:val="auto"/>
              </w:rPr>
              <w:t>1,140</w:t>
            </w:r>
          </w:p>
        </w:tc>
        <w:tc>
          <w:tcPr>
            <w:tcW w:w="15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1,140</w:t>
            </w:r>
          </w:p>
        </w:tc>
      </w:tr>
      <w:tr>
        <w:trPr>
          <w:trHeight w:val="212"/>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236</w:t>
            </w:r>
          </w:p>
        </w:tc>
        <w:tc>
          <w:tcPr>
            <w:tcW w:w="1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236</w:t>
            </w:r>
          </w:p>
        </w:tc>
      </w:tr>
      <w:tr>
        <w:trPr>
          <w:trHeight w:val="219"/>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Current liabilities</w:t>
            </w:r>
          </w:p>
        </w:tc>
        <w:tc>
          <w:tcPr>
            <w:tcW w:w="3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(7,788)</w:t>
            </w:r>
          </w:p>
        </w:tc>
        <w:tc>
          <w:tcPr>
            <w:tcW w:w="1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(7,788)</w:t>
            </w:r>
          </w:p>
        </w:tc>
      </w:tr>
      <w:tr>
        <w:trPr>
          <w:trHeight w:val="252"/>
        </w:trPr>
        <w:tc>
          <w:tcPr>
            <w:tcW w:w="1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Purchase price</w:t>
            </w:r>
          </w:p>
        </w:tc>
        <w:tc>
          <w:tcPr>
            <w:tcW w:w="4180" w:type="dxa"/>
            <w:vAlign w:val="bottom"/>
            <w:tcBorders>
              <w:bottom w:val="single" w:sz="8" w:color="auto"/>
            </w:tcBorders>
            <w:shd w:val="clear" w:color="auto" w:fill="CCEEFF"/>
          </w:tcPr>
          <w:p>
            <w:pPr>
              <w:spacing w:after="0"/>
              <w:rPr>
                <w:sz w:val="21"/>
                <w:szCs w:val="21"/>
                <w:color w:val="auto"/>
              </w:rPr>
            </w:pPr>
          </w:p>
        </w:tc>
        <w:tc>
          <w:tcPr>
            <w:tcW w:w="30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52,098</w:t>
            </w:r>
          </w:p>
        </w:tc>
      </w:tr>
    </w:tbl>
    <w:p>
      <w:pPr>
        <w:spacing w:after="0" w:line="226" w:lineRule="exact"/>
        <w:rPr>
          <w:sz w:val="20"/>
          <w:szCs w:val="20"/>
          <w:color w:val="auto"/>
        </w:rPr>
      </w:pPr>
    </w:p>
    <w:p>
      <w:pPr>
        <w:ind w:right="380"/>
        <w:spacing w:after="0" w:line="265" w:lineRule="auto"/>
        <w:rPr>
          <w:sz w:val="20"/>
          <w:szCs w:val="20"/>
          <w:color w:val="auto"/>
        </w:rPr>
      </w:pPr>
      <w:r>
        <w:rPr>
          <w:rFonts w:ascii="Arial" w:cs="Arial" w:eastAsia="Arial" w:hAnsi="Arial"/>
          <w:sz w:val="18"/>
          <w:szCs w:val="18"/>
          <w:color w:val="auto"/>
        </w:rPr>
        <w:t>Goodwill represents the acquisition of an established workforce with experience in strategic pricing, market access, HEOR, due diligence support and payer engagement services. Goodwill related to the US portion of the business acquired is tax deductible.</w:t>
      </w:r>
    </w:p>
    <w:p>
      <w:pPr>
        <w:spacing w:after="0" w:line="206" w:lineRule="exact"/>
        <w:rPr>
          <w:sz w:val="20"/>
          <w:szCs w:val="20"/>
          <w:color w:val="auto"/>
        </w:rPr>
      </w:pPr>
    </w:p>
    <w:p>
      <w:pPr>
        <w:spacing w:after="0" w:line="366" w:lineRule="auto"/>
        <w:rPr>
          <w:sz w:val="20"/>
          <w:szCs w:val="20"/>
          <w:color w:val="auto"/>
        </w:rPr>
      </w:pPr>
      <w:r>
        <w:rPr>
          <w:rFonts w:ascii="Arial" w:cs="Arial" w:eastAsia="Arial" w:hAnsi="Arial"/>
          <w:sz w:val="15"/>
          <w:szCs w:val="15"/>
          <w:color w:val="auto"/>
        </w:rPr>
        <w:t>The carrying values of accounts receivable, unbilled revenue and other current assets above are carried at amortised cost and assumed to be approximate to their fair values due to the short term nature of these balances. There is no evidence that the Group will not be able to collect all amounts due.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Business Combinations </w:t>
      </w:r>
      <w:r>
        <w:rPr>
          <w:rFonts w:ascii="Arial" w:cs="Arial" w:eastAsia="Arial" w:hAnsi="Arial"/>
          <w:sz w:val="18"/>
          <w:szCs w:val="18"/>
          <w:b w:val="1"/>
          <w:bCs w:val="1"/>
          <w:i w:val="1"/>
          <w:iCs w:val="1"/>
          <w:color w:val="auto"/>
        </w:rPr>
        <w:t>(continued)</w:t>
      </w:r>
    </w:p>
    <w:p>
      <w:pPr>
        <w:spacing w:after="0" w:line="223"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The proforma effect of the PriceSpective acquisition if completed on 1 January 2011 would have resulted in net revenue and profit for the financial years ended 31 December 2011 and 31 December 2012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040" w:type="dxa"/>
            <w:vAlign w:val="bottom"/>
          </w:tcPr>
          <w:p>
            <w:pPr>
              <w:jc w:val="right"/>
              <w:ind w:right="112"/>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040" w:type="dxa"/>
            <w:vAlign w:val="bottom"/>
          </w:tcPr>
          <w:p>
            <w:pPr>
              <w:jc w:val="right"/>
              <w:ind w:right="112"/>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04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504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50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1,118,410</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964,388</w:t>
            </w:r>
          </w:p>
        </w:tc>
        <w:tc>
          <w:tcPr>
            <w:tcW w:w="0" w:type="dxa"/>
            <w:vAlign w:val="bottom"/>
          </w:tcPr>
          <w:p>
            <w:pPr>
              <w:spacing w:after="0"/>
              <w:rPr>
                <w:sz w:val="1"/>
                <w:szCs w:val="1"/>
                <w:color w:val="auto"/>
              </w:rPr>
            </w:pPr>
          </w:p>
        </w:tc>
      </w:tr>
      <w:tr>
        <w:trPr>
          <w:trHeight w:val="417"/>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Profit for the year</w:t>
            </w:r>
          </w:p>
        </w:tc>
        <w:tc>
          <w:tcPr>
            <w:tcW w:w="5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58,857</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Acquisition of BeijingWits Medical</w:t>
      </w:r>
    </w:p>
    <w:p>
      <w:pPr>
        <w:spacing w:after="0" w:line="244"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On 15 February 2012 the Company acquired 100% of the common stock of BeijingWits Medical Consulting Co. Limited (“BeijingWits Medical”), a leading Chinese CRO, for an initial cash consideration of $9.0 million. BeijingWits Medical offers full-service clinical development capabilities and has a strong track record in clinical trial execution in China. It is a renowned expert in Chinese regulatory processes and a leading advocate of International Conference on Harmonisation Good Clinical Practice (“ICH GCP”) in China. In addition to boosting the Company’s service capabilities in the region, BeijingWits Medical will also strengthen the Company’s presence through the addition of over 100 highly qualified and experienced professionals in Beijing, Shanghai, Chengdu, Guangzhou, Wuhan and Hong Kong. Further consideration of up to $7.0 million may become payable if certain performance milestones are achieved in respect of periods up to 31 December 2013. At 31 December 2012 the Company has recorded a liability of $7.0 million in respect of the additional consideration.</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 xml:space="preserve">The acquisition of BeijingWits has been accounted for as a business combination in accordance with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summarises the fair values of the assets acquired and the liabilities assumed:</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11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020" w:type="dxa"/>
            <w:vAlign w:val="bottom"/>
          </w:tcPr>
          <w:p>
            <w:pPr>
              <w:jc w:val="right"/>
              <w:ind w:right="112"/>
              <w:spacing w:after="0"/>
              <w:rPr>
                <w:sz w:val="20"/>
                <w:szCs w:val="20"/>
                <w:color w:val="auto"/>
              </w:rPr>
            </w:pPr>
            <w:r>
              <w:rPr>
                <w:rFonts w:ascii="Arial" w:cs="Arial" w:eastAsia="Arial" w:hAnsi="Arial"/>
                <w:sz w:val="18"/>
                <w:szCs w:val="18"/>
                <w:b w:val="1"/>
                <w:bCs w:val="1"/>
                <w:color w:val="auto"/>
              </w:rPr>
              <w:t>Carrying</w:t>
            </w:r>
          </w:p>
        </w:tc>
        <w:tc>
          <w:tcPr>
            <w:tcW w:w="1520" w:type="dxa"/>
            <w:vAlign w:val="bottom"/>
          </w:tcPr>
          <w:p>
            <w:pPr>
              <w:jc w:val="right"/>
              <w:ind w:right="332"/>
              <w:spacing w:after="0"/>
              <w:rPr>
                <w:sz w:val="20"/>
                <w:szCs w:val="20"/>
                <w:color w:val="auto"/>
              </w:rPr>
            </w:pPr>
            <w:r>
              <w:rPr>
                <w:rFonts w:ascii="Arial" w:cs="Arial" w:eastAsia="Arial" w:hAnsi="Arial"/>
                <w:sz w:val="18"/>
                <w:szCs w:val="18"/>
                <w:b w:val="1"/>
                <w:bCs w:val="1"/>
                <w:color w:val="auto"/>
              </w:rPr>
              <w:t>Fair Value</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Fair</w:t>
            </w:r>
          </w:p>
        </w:tc>
      </w:tr>
      <w:tr>
        <w:trPr>
          <w:trHeight w:val="212"/>
        </w:trPr>
        <w:tc>
          <w:tcPr>
            <w:tcW w:w="11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020" w:type="dxa"/>
            <w:vAlign w:val="bottom"/>
          </w:tcPr>
          <w:p>
            <w:pPr>
              <w:jc w:val="right"/>
              <w:ind w:right="112"/>
              <w:spacing w:after="0"/>
              <w:rPr>
                <w:sz w:val="20"/>
                <w:szCs w:val="20"/>
                <w:color w:val="auto"/>
              </w:rPr>
            </w:pPr>
            <w:r>
              <w:rPr>
                <w:rFonts w:ascii="Arial" w:cs="Arial" w:eastAsia="Arial" w:hAnsi="Arial"/>
                <w:sz w:val="18"/>
                <w:szCs w:val="18"/>
                <w:b w:val="1"/>
                <w:bCs w:val="1"/>
                <w:color w:val="auto"/>
              </w:rPr>
              <w:t>Value</w:t>
            </w:r>
          </w:p>
        </w:tc>
        <w:tc>
          <w:tcPr>
            <w:tcW w:w="1520" w:type="dxa"/>
            <w:vAlign w:val="bottom"/>
          </w:tcPr>
          <w:p>
            <w:pPr>
              <w:jc w:val="right"/>
              <w:ind w:right="372"/>
              <w:spacing w:after="0"/>
              <w:rPr>
                <w:sz w:val="20"/>
                <w:szCs w:val="20"/>
                <w:color w:val="auto"/>
              </w:rPr>
            </w:pPr>
            <w:r>
              <w:rPr>
                <w:rFonts w:ascii="Arial" w:cs="Arial" w:eastAsia="Arial" w:hAnsi="Arial"/>
                <w:sz w:val="18"/>
                <w:szCs w:val="18"/>
                <w:b w:val="1"/>
                <w:bCs w:val="1"/>
                <w:color w:val="auto"/>
              </w:rPr>
              <w:t>Adjustment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Value</w:t>
            </w:r>
          </w:p>
        </w:tc>
      </w:tr>
      <w:tr>
        <w:trPr>
          <w:trHeight w:val="230"/>
        </w:trPr>
        <w:tc>
          <w:tcPr>
            <w:tcW w:w="11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02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520" w:type="dxa"/>
            <w:vAlign w:val="bottom"/>
          </w:tcPr>
          <w:p>
            <w:pPr>
              <w:jc w:val="right"/>
              <w:ind w:right="332"/>
              <w:spacing w:after="0"/>
              <w:rPr>
                <w:sz w:val="20"/>
                <w:szCs w:val="20"/>
                <w:color w:val="auto"/>
              </w:rPr>
            </w:pPr>
            <w:r>
              <w:rPr>
                <w:rFonts w:ascii="Arial" w:cs="Arial" w:eastAsia="Arial" w:hAnsi="Arial"/>
                <w:sz w:val="18"/>
                <w:szCs w:val="18"/>
                <w:b w:val="1"/>
                <w:bCs w:val="1"/>
                <w:color w:val="auto"/>
              </w:rPr>
              <w:t>$’000</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$’000</w:t>
            </w:r>
          </w:p>
        </w:tc>
      </w:tr>
      <w:tr>
        <w:trPr>
          <w:trHeight w:val="213"/>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172</w:t>
            </w:r>
          </w:p>
        </w:tc>
        <w:tc>
          <w:tcPr>
            <w:tcW w:w="1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r>
      <w:tr>
        <w:trPr>
          <w:trHeight w:val="212"/>
        </w:trPr>
        <w:tc>
          <w:tcPr>
            <w:tcW w:w="1140" w:type="dxa"/>
            <w:vAlign w:val="bottom"/>
          </w:tcPr>
          <w:p>
            <w:pPr>
              <w:spacing w:after="0"/>
              <w:rPr>
                <w:sz w:val="20"/>
                <w:szCs w:val="20"/>
                <w:color w:val="auto"/>
              </w:rPr>
            </w:pPr>
            <w:r>
              <w:rPr>
                <w:rFonts w:ascii="Arial" w:cs="Arial" w:eastAsia="Arial" w:hAnsi="Arial"/>
                <w:sz w:val="18"/>
                <w:szCs w:val="18"/>
                <w:color w:val="auto"/>
              </w:rPr>
              <w:t>Goodwill</w:t>
            </w:r>
          </w:p>
        </w:tc>
        <w:tc>
          <w:tcPr>
            <w:tcW w:w="4180" w:type="dxa"/>
            <w:vAlign w:val="bottom"/>
          </w:tcPr>
          <w:p>
            <w:pPr>
              <w:spacing w:after="0"/>
              <w:rPr>
                <w:sz w:val="18"/>
                <w:szCs w:val="18"/>
                <w:color w:val="auto"/>
              </w:rPr>
            </w:pPr>
          </w:p>
        </w:tc>
        <w:tc>
          <w:tcPr>
            <w:tcW w:w="3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32"/>
              <w:spacing w:after="0"/>
              <w:rPr>
                <w:sz w:val="20"/>
                <w:szCs w:val="20"/>
                <w:color w:val="auto"/>
              </w:rPr>
            </w:pPr>
            <w:r>
              <w:rPr>
                <w:rFonts w:ascii="Arial" w:cs="Arial" w:eastAsia="Arial" w:hAnsi="Arial"/>
                <w:sz w:val="18"/>
                <w:szCs w:val="18"/>
                <w:color w:val="auto"/>
              </w:rPr>
              <w:t>13,512</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13,512</w:t>
            </w:r>
          </w:p>
        </w:tc>
      </w:tr>
      <w:tr>
        <w:trPr>
          <w:trHeight w:val="212"/>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88"/>
              </w:rPr>
              <w:t>Intangible asset</w:t>
            </w:r>
          </w:p>
        </w:tc>
        <w:tc>
          <w:tcPr>
            <w:tcW w:w="4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 customer relationships</w:t>
            </w:r>
          </w:p>
        </w:tc>
        <w:tc>
          <w:tcPr>
            <w:tcW w:w="3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1,761</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1,761</w:t>
            </w:r>
          </w:p>
        </w:tc>
      </w:tr>
      <w:tr>
        <w:trPr>
          <w:trHeight w:val="212"/>
        </w:trPr>
        <w:tc>
          <w:tcPr>
            <w:tcW w:w="1140" w:type="dxa"/>
            <w:vAlign w:val="bottom"/>
          </w:tcPr>
          <w:p>
            <w:pPr>
              <w:spacing w:after="0"/>
              <w:rPr>
                <w:sz w:val="20"/>
                <w:szCs w:val="20"/>
                <w:color w:val="auto"/>
              </w:rPr>
            </w:pPr>
            <w:r>
              <w:rPr>
                <w:rFonts w:ascii="Arial" w:cs="Arial" w:eastAsia="Arial" w:hAnsi="Arial"/>
                <w:sz w:val="18"/>
                <w:szCs w:val="18"/>
                <w:color w:val="auto"/>
                <w:w w:val="88"/>
              </w:rPr>
              <w:t>Intangible asset</w:t>
            </w:r>
          </w:p>
        </w:tc>
        <w:tc>
          <w:tcPr>
            <w:tcW w:w="4180" w:type="dxa"/>
            <w:vAlign w:val="bottom"/>
          </w:tcPr>
          <w:p>
            <w:pPr>
              <w:ind w:left="60"/>
              <w:spacing w:after="0"/>
              <w:rPr>
                <w:sz w:val="20"/>
                <w:szCs w:val="20"/>
                <w:color w:val="auto"/>
              </w:rPr>
            </w:pPr>
            <w:r>
              <w:rPr>
                <w:rFonts w:ascii="Arial" w:cs="Arial" w:eastAsia="Arial" w:hAnsi="Arial"/>
                <w:sz w:val="18"/>
                <w:szCs w:val="18"/>
                <w:color w:val="auto"/>
              </w:rPr>
              <w:t>- order backlog</w:t>
            </w:r>
          </w:p>
        </w:tc>
        <w:tc>
          <w:tcPr>
            <w:tcW w:w="3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32"/>
              <w:spacing w:after="0"/>
              <w:rPr>
                <w:sz w:val="20"/>
                <w:szCs w:val="20"/>
                <w:color w:val="auto"/>
              </w:rPr>
            </w:pPr>
            <w:r>
              <w:rPr>
                <w:rFonts w:ascii="Arial" w:cs="Arial" w:eastAsia="Arial" w:hAnsi="Arial"/>
                <w:sz w:val="18"/>
                <w:szCs w:val="18"/>
                <w:color w:val="auto"/>
              </w:rPr>
              <w:t>376</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376</w:t>
            </w:r>
          </w:p>
        </w:tc>
      </w:tr>
      <w:tr>
        <w:trPr>
          <w:trHeight w:val="212"/>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88"/>
              </w:rPr>
              <w:t>Intangible asset</w:t>
            </w:r>
          </w:p>
        </w:tc>
        <w:tc>
          <w:tcPr>
            <w:tcW w:w="4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 non-compete arrangements</w:t>
            </w:r>
          </w:p>
        </w:tc>
        <w:tc>
          <w:tcPr>
            <w:tcW w:w="3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97</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r>
      <w:tr>
        <w:trPr>
          <w:trHeight w:val="212"/>
        </w:trPr>
        <w:tc>
          <w:tcPr>
            <w:tcW w:w="53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020" w:type="dxa"/>
            <w:vAlign w:val="bottom"/>
          </w:tcPr>
          <w:p>
            <w:pPr>
              <w:jc w:val="right"/>
              <w:ind w:right="112"/>
              <w:spacing w:after="0"/>
              <w:rPr>
                <w:sz w:val="20"/>
                <w:szCs w:val="20"/>
                <w:color w:val="auto"/>
              </w:rPr>
            </w:pPr>
            <w:r>
              <w:rPr>
                <w:rFonts w:ascii="Arial" w:cs="Arial" w:eastAsia="Arial" w:hAnsi="Arial"/>
                <w:sz w:val="18"/>
                <w:szCs w:val="18"/>
                <w:color w:val="auto"/>
              </w:rPr>
              <w:t>587</w:t>
            </w:r>
          </w:p>
        </w:tc>
        <w:tc>
          <w:tcPr>
            <w:tcW w:w="15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587</w:t>
            </w:r>
          </w:p>
        </w:tc>
      </w:tr>
      <w:tr>
        <w:trPr>
          <w:trHeight w:val="212"/>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657</w:t>
            </w:r>
          </w:p>
        </w:tc>
        <w:tc>
          <w:tcPr>
            <w:tcW w:w="1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657</w:t>
            </w:r>
          </w:p>
        </w:tc>
      </w:tr>
      <w:tr>
        <w:trPr>
          <w:trHeight w:val="212"/>
        </w:trPr>
        <w:tc>
          <w:tcPr>
            <w:tcW w:w="5320" w:type="dxa"/>
            <w:vAlign w:val="bottom"/>
            <w:gridSpan w:val="2"/>
          </w:tcPr>
          <w:p>
            <w:pPr>
              <w:spacing w:after="0"/>
              <w:rPr>
                <w:sz w:val="20"/>
                <w:szCs w:val="20"/>
                <w:color w:val="auto"/>
              </w:rPr>
            </w:pPr>
            <w:r>
              <w:rPr>
                <w:rFonts w:ascii="Arial" w:cs="Arial" w:eastAsia="Arial" w:hAnsi="Arial"/>
                <w:sz w:val="18"/>
                <w:szCs w:val="18"/>
                <w:color w:val="auto"/>
              </w:rPr>
              <w:t>Unbilled revenue</w:t>
            </w:r>
          </w:p>
        </w:tc>
        <w:tc>
          <w:tcPr>
            <w:tcW w:w="3020" w:type="dxa"/>
            <w:vAlign w:val="bottom"/>
          </w:tcPr>
          <w:p>
            <w:pPr>
              <w:jc w:val="right"/>
              <w:ind w:right="112"/>
              <w:spacing w:after="0"/>
              <w:rPr>
                <w:sz w:val="20"/>
                <w:szCs w:val="20"/>
                <w:color w:val="auto"/>
              </w:rPr>
            </w:pPr>
            <w:r>
              <w:rPr>
                <w:rFonts w:ascii="Arial" w:cs="Arial" w:eastAsia="Arial" w:hAnsi="Arial"/>
                <w:sz w:val="18"/>
                <w:szCs w:val="18"/>
                <w:color w:val="auto"/>
              </w:rPr>
              <w:t>176</w:t>
            </w:r>
          </w:p>
        </w:tc>
        <w:tc>
          <w:tcPr>
            <w:tcW w:w="15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176</w:t>
            </w:r>
          </w:p>
        </w:tc>
      </w:tr>
      <w:tr>
        <w:trPr>
          <w:trHeight w:val="212"/>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228</w:t>
            </w:r>
          </w:p>
        </w:tc>
        <w:tc>
          <w:tcPr>
            <w:tcW w:w="1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228</w:t>
            </w:r>
          </w:p>
        </w:tc>
      </w:tr>
      <w:tr>
        <w:trPr>
          <w:trHeight w:val="212"/>
        </w:trPr>
        <w:tc>
          <w:tcPr>
            <w:tcW w:w="532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3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(559)</w:t>
            </w:r>
          </w:p>
        </w:tc>
        <w:tc>
          <w:tcPr>
            <w:tcW w:w="98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19"/>
        </w:trPr>
        <w:tc>
          <w:tcPr>
            <w:tcW w:w="5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(1,007)</w:t>
            </w:r>
          </w:p>
        </w:tc>
        <w:tc>
          <w:tcPr>
            <w:tcW w:w="1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r>
      <w:tr>
        <w:trPr>
          <w:trHeight w:val="212"/>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Purchase price</w:t>
            </w:r>
          </w:p>
        </w:tc>
        <w:tc>
          <w:tcPr>
            <w:tcW w:w="41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16,000</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Goodwill represents the acquisition of an established workforce with experience in clinical trial execution and regulatory processes in China. Goodwill is not tax deductible.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Combinations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50"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The carrying values of accounts receivable, unbilled revenue and other current assets in the above table are carried at amortised cost and assumed to be approximate to their fair values due to the short term nature of these balances. There is no evidence that the Group will not be able to collect all amounts due.</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The proforma effect of the BeijingWits acquisition if completed on 1 January 2011 would have resulted in net revenue and profit for the financial years ended 31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2011 and 31 December 2012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040" w:type="dxa"/>
            <w:vAlign w:val="bottom"/>
          </w:tcPr>
          <w:p>
            <w:pPr>
              <w:jc w:val="right"/>
              <w:ind w:right="112"/>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040" w:type="dxa"/>
            <w:vAlign w:val="bottom"/>
          </w:tcPr>
          <w:p>
            <w:pPr>
              <w:jc w:val="right"/>
              <w:ind w:right="112"/>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04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504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50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1,115,355</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948,942</w:t>
            </w:r>
          </w:p>
        </w:tc>
        <w:tc>
          <w:tcPr>
            <w:tcW w:w="0" w:type="dxa"/>
            <w:vAlign w:val="bottom"/>
          </w:tcPr>
          <w:p>
            <w:pPr>
              <w:spacing w:after="0"/>
              <w:rPr>
                <w:sz w:val="1"/>
                <w:szCs w:val="1"/>
                <w:color w:val="auto"/>
              </w:rPr>
            </w:pPr>
          </w:p>
        </w:tc>
      </w:tr>
      <w:tr>
        <w:trPr>
          <w:trHeight w:val="417"/>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Profit for the year</w:t>
            </w:r>
          </w:p>
        </w:tc>
        <w:tc>
          <w:tcPr>
            <w:tcW w:w="5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58,275</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Prior period acquisition of Firecrest Clinical</w:t>
      </w:r>
    </w:p>
    <w:p>
      <w:pPr>
        <w:spacing w:after="0" w:line="244"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On 14 July 2011 the Company acquired 100% of the common stock of Firecrest Clinical Limited (“Firecrest”), a market leading provider of technology solutions that boost investigator site performance and study management, for an initial cash consideration of €17.0 million ($24.5 million). Headquartered in Limerick, Ireland, Firecrest Clinical provides a comprehensive site performance management system that is used to improve compliance consistency and execution of activities at investigative sites. The acquisition agreement provided that further consideration of up to €33.0 million ($46.8 million) may become payable if certain performance milestones are achieved in respect of periods up to 30 June 2013. At the date of acquisition the Company recorded a liability of €31.3 million ($44.0 million) in relation to these performance milestones. In March 2012 €3.0 million ($4.0million) was paid by the Company in relation to performance milestones for the six months ended 30 June 2011 and in July 2012 a further €10.0 million ($12.5 million) was paid by the Company in relation to performance milestones for the year ended 31 December 2011, both amounts representing the full amount of additional consideration potentially payable. At 31 December 2012 the Company has recorded a liability of €19.5 million ($25.8 million) in relation to the remaining performance milestones.</w:t>
      </w:r>
    </w:p>
    <w:p>
      <w:pPr>
        <w:spacing w:after="0" w:line="200" w:lineRule="exact"/>
        <w:rPr>
          <w:sz w:val="20"/>
          <w:szCs w:val="20"/>
          <w:color w:val="auto"/>
        </w:rPr>
      </w:pP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acquisition agreement also provided for certain working capital targets to be achieved by Firecrest on completion. In March 2012 the Company paid €0.4 million ($0.5 million) on completion of this review.</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Combinations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50" w:lineRule="exact"/>
        <w:rPr>
          <w:sz w:val="20"/>
          <w:szCs w:val="20"/>
          <w:color w:val="auto"/>
        </w:rPr>
      </w:pPr>
    </w:p>
    <w:p>
      <w:pPr>
        <w:ind w:right="800"/>
        <w:spacing w:after="0" w:line="265" w:lineRule="auto"/>
        <w:rPr>
          <w:sz w:val="20"/>
          <w:szCs w:val="20"/>
          <w:color w:val="auto"/>
        </w:rPr>
      </w:pPr>
      <w:r>
        <w:rPr>
          <w:rFonts w:ascii="Arial" w:cs="Arial" w:eastAsia="Arial" w:hAnsi="Arial"/>
          <w:sz w:val="18"/>
          <w:szCs w:val="18"/>
          <w:color w:val="auto"/>
        </w:rPr>
        <w:t xml:space="preserve">The acquisition of Firecrest has been accounted for as a business combination in accordance with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following table summarises the fair values of the assets acquired and the liabilities assumed: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460" w:type="dxa"/>
            <w:vAlign w:val="bottom"/>
          </w:tcPr>
          <w:p>
            <w:pPr>
              <w:jc w:val="right"/>
              <w:ind w:right="172"/>
              <w:spacing w:after="0"/>
              <w:rPr>
                <w:sz w:val="20"/>
                <w:szCs w:val="20"/>
                <w:color w:val="auto"/>
              </w:rPr>
            </w:pPr>
            <w:r>
              <w:rPr>
                <w:rFonts w:ascii="Arial" w:cs="Arial" w:eastAsia="Arial" w:hAnsi="Arial"/>
                <w:sz w:val="18"/>
                <w:szCs w:val="18"/>
                <w:b w:val="1"/>
                <w:bCs w:val="1"/>
                <w:color w:val="auto"/>
              </w:rPr>
              <w:t>Carrying</w:t>
            </w:r>
          </w:p>
        </w:tc>
        <w:tc>
          <w:tcPr>
            <w:tcW w:w="1420" w:type="dxa"/>
            <w:vAlign w:val="bottom"/>
          </w:tcPr>
          <w:p>
            <w:pPr>
              <w:jc w:val="right"/>
              <w:ind w:right="232"/>
              <w:spacing w:after="0"/>
              <w:rPr>
                <w:sz w:val="20"/>
                <w:szCs w:val="20"/>
                <w:color w:val="auto"/>
              </w:rPr>
            </w:pPr>
            <w:r>
              <w:rPr>
                <w:rFonts w:ascii="Arial" w:cs="Arial" w:eastAsia="Arial" w:hAnsi="Arial"/>
                <w:sz w:val="18"/>
                <w:szCs w:val="18"/>
                <w:b w:val="1"/>
                <w:bCs w:val="1"/>
                <w:color w:val="auto"/>
              </w:rPr>
              <w:t>Fair Value</w:t>
            </w:r>
          </w:p>
        </w:tc>
        <w:tc>
          <w:tcPr>
            <w:tcW w:w="1140" w:type="dxa"/>
            <w:vAlign w:val="bottom"/>
          </w:tcPr>
          <w:p>
            <w:pPr>
              <w:jc w:val="right"/>
              <w:ind w:right="12"/>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460" w:type="dxa"/>
            <w:vAlign w:val="bottom"/>
          </w:tcPr>
          <w:p>
            <w:pPr>
              <w:jc w:val="right"/>
              <w:ind w:right="172"/>
              <w:spacing w:after="0"/>
              <w:rPr>
                <w:sz w:val="20"/>
                <w:szCs w:val="20"/>
                <w:color w:val="auto"/>
              </w:rPr>
            </w:pPr>
            <w:r>
              <w:rPr>
                <w:rFonts w:ascii="Arial" w:cs="Arial" w:eastAsia="Arial" w:hAnsi="Arial"/>
                <w:sz w:val="18"/>
                <w:szCs w:val="18"/>
                <w:b w:val="1"/>
                <w:bCs w:val="1"/>
                <w:color w:val="auto"/>
              </w:rPr>
              <w:t>Amount</w:t>
            </w:r>
          </w:p>
        </w:tc>
        <w:tc>
          <w:tcPr>
            <w:tcW w:w="1420" w:type="dxa"/>
            <w:vAlign w:val="bottom"/>
          </w:tcPr>
          <w:p>
            <w:pPr>
              <w:jc w:val="right"/>
              <w:ind w:right="232"/>
              <w:spacing w:after="0"/>
              <w:rPr>
                <w:sz w:val="20"/>
                <w:szCs w:val="20"/>
                <w:color w:val="auto"/>
              </w:rPr>
            </w:pPr>
            <w:r>
              <w:rPr>
                <w:rFonts w:ascii="Arial" w:cs="Arial" w:eastAsia="Arial" w:hAnsi="Arial"/>
                <w:sz w:val="18"/>
                <w:szCs w:val="18"/>
                <w:b w:val="1"/>
                <w:bCs w:val="1"/>
                <w:color w:val="auto"/>
              </w:rPr>
              <w:t>Adjustment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3460" w:type="dxa"/>
            <w:vAlign w:val="bottom"/>
          </w:tcPr>
          <w:p>
            <w:pPr>
              <w:jc w:val="right"/>
              <w:ind w:right="172"/>
              <w:spacing w:after="0"/>
              <w:rPr>
                <w:sz w:val="20"/>
                <w:szCs w:val="20"/>
                <w:color w:val="auto"/>
              </w:rPr>
            </w:pPr>
            <w:r>
              <w:rPr>
                <w:rFonts w:ascii="Arial" w:cs="Arial" w:eastAsia="Arial" w:hAnsi="Arial"/>
                <w:sz w:val="18"/>
                <w:szCs w:val="18"/>
                <w:b w:val="1"/>
                <w:bCs w:val="1"/>
                <w:color w:val="auto"/>
              </w:rPr>
              <w:t>$’000</w:t>
            </w:r>
          </w:p>
        </w:tc>
        <w:tc>
          <w:tcPr>
            <w:tcW w:w="1420" w:type="dxa"/>
            <w:vAlign w:val="bottom"/>
          </w:tcPr>
          <w:p>
            <w:pPr>
              <w:jc w:val="right"/>
              <w:ind w:right="232"/>
              <w:spacing w:after="0"/>
              <w:rPr>
                <w:sz w:val="20"/>
                <w:szCs w:val="20"/>
                <w:color w:val="auto"/>
              </w:rPr>
            </w:pPr>
            <w:r>
              <w:rPr>
                <w:rFonts w:ascii="Arial" w:cs="Arial" w:eastAsia="Arial" w:hAnsi="Arial"/>
                <w:sz w:val="18"/>
                <w:szCs w:val="18"/>
                <w:b w:val="1"/>
                <w:bCs w:val="1"/>
                <w:color w:val="auto"/>
              </w:rPr>
              <w:t>$’000</w:t>
            </w:r>
          </w:p>
        </w:tc>
        <w:tc>
          <w:tcPr>
            <w:tcW w:w="114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687</w:t>
            </w:r>
          </w:p>
        </w:tc>
        <w:tc>
          <w:tcPr>
            <w:tcW w:w="1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Goodwill</w:t>
            </w:r>
          </w:p>
        </w:tc>
        <w:tc>
          <w:tcPr>
            <w:tcW w:w="3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2"/>
              <w:spacing w:after="0"/>
              <w:rPr>
                <w:sz w:val="20"/>
                <w:szCs w:val="20"/>
                <w:color w:val="auto"/>
              </w:rPr>
            </w:pPr>
            <w:r>
              <w:rPr>
                <w:rFonts w:ascii="Arial" w:cs="Arial" w:eastAsia="Arial" w:hAnsi="Arial"/>
                <w:sz w:val="18"/>
                <w:szCs w:val="18"/>
                <w:color w:val="auto"/>
              </w:rPr>
              <w:t>48,073</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48,073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technology asset</w:t>
            </w:r>
          </w:p>
        </w:tc>
        <w:tc>
          <w:tcPr>
            <w:tcW w:w="3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11,169</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Intangible asset – customer relationships</w:t>
            </w:r>
          </w:p>
        </w:tc>
        <w:tc>
          <w:tcPr>
            <w:tcW w:w="3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2"/>
              <w:spacing w:after="0"/>
              <w:rPr>
                <w:sz w:val="20"/>
                <w:szCs w:val="20"/>
                <w:color w:val="auto"/>
              </w:rPr>
            </w:pPr>
            <w:r>
              <w:rPr>
                <w:rFonts w:ascii="Arial" w:cs="Arial" w:eastAsia="Arial" w:hAnsi="Arial"/>
                <w:sz w:val="18"/>
                <w:szCs w:val="18"/>
                <w:color w:val="auto"/>
              </w:rPr>
              <w:t>5,243</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order backlog</w:t>
            </w:r>
          </w:p>
        </w:tc>
        <w:tc>
          <w:tcPr>
            <w:tcW w:w="3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1,172</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Intangible asset - trade name</w:t>
            </w:r>
          </w:p>
        </w:tc>
        <w:tc>
          <w:tcPr>
            <w:tcW w:w="3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2"/>
              <w:spacing w:after="0"/>
              <w:rPr>
                <w:sz w:val="20"/>
                <w:szCs w:val="20"/>
                <w:color w:val="auto"/>
              </w:rPr>
            </w:pPr>
            <w:r>
              <w:rPr>
                <w:rFonts w:ascii="Arial" w:cs="Arial" w:eastAsia="Arial" w:hAnsi="Arial"/>
                <w:sz w:val="18"/>
                <w:szCs w:val="18"/>
                <w:color w:val="auto"/>
              </w:rPr>
              <w:t>1,357</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1,965</w:t>
            </w:r>
          </w:p>
        </w:tc>
        <w:tc>
          <w:tcPr>
            <w:tcW w:w="1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current assets</w:t>
            </w:r>
          </w:p>
        </w:tc>
        <w:tc>
          <w:tcPr>
            <w:tcW w:w="3460" w:type="dxa"/>
            <w:vAlign w:val="bottom"/>
          </w:tcPr>
          <w:p>
            <w:pPr>
              <w:jc w:val="right"/>
              <w:ind w:right="172"/>
              <w:spacing w:after="0"/>
              <w:rPr>
                <w:sz w:val="20"/>
                <w:szCs w:val="20"/>
                <w:color w:val="auto"/>
              </w:rPr>
            </w:pPr>
            <w:r>
              <w:rPr>
                <w:rFonts w:ascii="Arial" w:cs="Arial" w:eastAsia="Arial" w:hAnsi="Arial"/>
                <w:sz w:val="18"/>
                <w:szCs w:val="18"/>
                <w:color w:val="auto"/>
              </w:rPr>
              <w:t>846</w:t>
            </w:r>
          </w:p>
        </w:tc>
        <w:tc>
          <w:tcPr>
            <w:tcW w:w="14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2,867</w:t>
            </w:r>
          </w:p>
        </w:tc>
        <w:tc>
          <w:tcPr>
            <w:tcW w:w="1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(2,367)</w:t>
            </w:r>
          </w:p>
        </w:tc>
        <w:tc>
          <w:tcPr>
            <w:tcW w:w="1140" w:type="dxa"/>
            <w:vAlign w:val="bottom"/>
          </w:tcPr>
          <w:p>
            <w:pPr>
              <w:jc w:val="right"/>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4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(2,521)</w:t>
            </w:r>
          </w:p>
        </w:tc>
        <w:tc>
          <w:tcPr>
            <w:tcW w:w="1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Purchase price</w:t>
            </w:r>
          </w:p>
        </w:tc>
        <w:tc>
          <w:tcPr>
            <w:tcW w:w="34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68,491</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Goodwill represents the cost of an established workforce with experience in the development of site performance and study management systems and process related efficiencies expected to be generated from the use of the Firecrest site performance management system. Goodwill is not tax deductible.</w:t>
      </w:r>
    </w:p>
    <w:p>
      <w:pPr>
        <w:spacing w:after="0" w:line="137" w:lineRule="exact"/>
        <w:rPr>
          <w:sz w:val="20"/>
          <w:szCs w:val="20"/>
          <w:color w:val="auto"/>
        </w:rPr>
      </w:pPr>
    </w:p>
    <w:p>
      <w:pPr>
        <w:ind w:right="300"/>
        <w:spacing w:after="0" w:line="366" w:lineRule="auto"/>
        <w:rPr>
          <w:sz w:val="20"/>
          <w:szCs w:val="20"/>
          <w:color w:val="auto"/>
        </w:rPr>
      </w:pPr>
      <w:r>
        <w:rPr>
          <w:rFonts w:ascii="Arial" w:cs="Arial" w:eastAsia="Arial" w:hAnsi="Arial"/>
          <w:sz w:val="15"/>
          <w:szCs w:val="15"/>
          <w:color w:val="auto"/>
        </w:rPr>
        <w:t>The carrying values of accounts receivable in the above table are carried at amortised cost and assumed to be approximate to their fair values due to the short term nature of these balances. There is no evidence that the Group will not be able to collect all amounts due within the above acquired accounts receivable.</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The proforma effect of the Firecrest acquisition if completed on 1 January 2010 would have resulted in net revenue and profit for the financial years ended 31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2010 and 31 December 2011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3940" w:type="dxa"/>
            <w:vAlign w:val="bottom"/>
          </w:tcPr>
          <w:p>
            <w:pPr>
              <w:jc w:val="right"/>
              <w:ind w:right="112"/>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3940" w:type="dxa"/>
            <w:vAlign w:val="bottom"/>
          </w:tcPr>
          <w:p>
            <w:pPr>
              <w:jc w:val="right"/>
              <w:ind w:right="112"/>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3940" w:type="dxa"/>
            <w:vAlign w:val="bottom"/>
          </w:tcPr>
          <w:p>
            <w:pPr>
              <w:jc w:val="right"/>
              <w:ind w:right="112"/>
              <w:spacing w:after="0"/>
              <w:rPr>
                <w:sz w:val="20"/>
                <w:szCs w:val="20"/>
                <w:color w:val="auto"/>
              </w:rPr>
            </w:pPr>
            <w:r>
              <w:rPr>
                <w:rFonts w:ascii="Arial" w:cs="Arial" w:eastAsia="Arial" w:hAnsi="Arial"/>
                <w:sz w:val="18"/>
                <w:szCs w:val="18"/>
                <w:b w:val="1"/>
                <w:bCs w:val="1"/>
                <w:color w:val="auto"/>
              </w:rPr>
              <w:t>2011</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394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6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3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952,729</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906,311</w:t>
            </w:r>
          </w:p>
        </w:tc>
        <w:tc>
          <w:tcPr>
            <w:tcW w:w="0" w:type="dxa"/>
            <w:vAlign w:val="bottom"/>
          </w:tcPr>
          <w:p>
            <w:pPr>
              <w:spacing w:after="0"/>
              <w:rPr>
                <w:sz w:val="1"/>
                <w:szCs w:val="1"/>
                <w:color w:val="auto"/>
              </w:rPr>
            </w:pPr>
          </w:p>
        </w:tc>
      </w:tr>
      <w:tr>
        <w:trPr>
          <w:trHeight w:val="417"/>
        </w:trPr>
        <w:tc>
          <w:tcPr>
            <w:tcW w:w="6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Profit for the year</w:t>
            </w:r>
          </w:p>
        </w:tc>
        <w:tc>
          <w:tcPr>
            <w:tcW w:w="3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22,201</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85,228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6220" w:type="dxa"/>
            <w:vAlign w:val="bottom"/>
            <w:gridSpan w:val="2"/>
          </w:tcPr>
          <w:p>
            <w:pPr>
              <w:spacing w:after="0"/>
              <w:rPr>
                <w:sz w:val="20"/>
                <w:szCs w:val="20"/>
                <w:color w:val="auto"/>
              </w:rPr>
            </w:pPr>
            <w:r>
              <w:rPr>
                <w:rFonts w:ascii="Arial" w:cs="Arial" w:eastAsia="Arial" w:hAnsi="Arial"/>
                <w:sz w:val="18"/>
                <w:szCs w:val="18"/>
                <w:i w:val="1"/>
                <w:iCs w:val="1"/>
                <w:color w:val="auto"/>
              </w:rPr>
              <w:t>(d) Prior period acquisition of Oxford Outcomes</w:t>
            </w:r>
          </w:p>
        </w:tc>
        <w:tc>
          <w:tcPr>
            <w:tcW w:w="3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14 January 2011 the Company acquired approximately 80% of the common stock of Oxford Outcomes Limited (“Oxford Outcomes”), an international health outcomes consultancy business, for an initial cash consideration of £18.1 million ($28.1 million). Headquartered in Oxford, United Kingdom, and with offices in the USA and Canada, Oxford Outcomes provides specialist services in the areas of patient reported outcomes (PRO), health economics, epidemiology and translation and linguistic validation. On the same day a put and call option was agreed between the Company and the selling shareholders for the acquisition of the remaining common stock of Oxford Outcomes during the year ended 31 December 2011 for cash consideration of £3.8 million ($6.0 million). This option was exercised in October 2011.</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Combinations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Additional consideration of up to £8.0 million ($12.6 million) was potentially payable if certain performance milestones were achieved by Oxford Outcomes in respect of periods up to 31 March 2012; £4.0 million ($6.3 million) in respect of the year ended 31 March 2011 and £4.0 million ($6.3 million) in respect of the year ended 31 March 2012. Performance milestones in respect of both periods have been achieved. £4.0 million ($6.3 million) was paid during the year ended 31 December 2011 in respect of the milestone for the year ended 31 March 2011. A part payment of £2.0 million ($3.3 million) in respect of the 31 March 2012 milestone was made by the Company in October 2012. At 31 December 2012, the Company has recorded a liability of £2.0 million ($3.1 million) in relation to the remaining element of this milestone.</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acquisition agreement also provided for certain working capital targets to be achieved by Oxford Outcomes on completion. In May 2011 the Company paid an additional £3.3 million ($5.1 million) in respect of certain elements of this review and in March 2012 paid a further £0.8 million ($1.2 million) on completion of the review.</w:t>
      </w:r>
    </w:p>
    <w:p>
      <w:pPr>
        <w:spacing w:after="0" w:line="215"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 xml:space="preserve">The acquisition of Oxford Outcomes has been accounted for as a business combination in accordance with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following table summarises the fair values of the assets acquired and the liabilities assumed: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460" w:type="dxa"/>
            <w:vAlign w:val="bottom"/>
          </w:tcPr>
          <w:p>
            <w:pPr>
              <w:jc w:val="right"/>
              <w:ind w:right="172"/>
              <w:spacing w:after="0"/>
              <w:rPr>
                <w:sz w:val="20"/>
                <w:szCs w:val="20"/>
                <w:color w:val="auto"/>
              </w:rPr>
            </w:pPr>
            <w:r>
              <w:rPr>
                <w:rFonts w:ascii="Arial" w:cs="Arial" w:eastAsia="Arial" w:hAnsi="Arial"/>
                <w:sz w:val="18"/>
                <w:szCs w:val="18"/>
                <w:b w:val="1"/>
                <w:bCs w:val="1"/>
                <w:color w:val="auto"/>
              </w:rPr>
              <w:t>Carrying</w:t>
            </w:r>
          </w:p>
        </w:tc>
        <w:tc>
          <w:tcPr>
            <w:tcW w:w="1420" w:type="dxa"/>
            <w:vAlign w:val="bottom"/>
          </w:tcPr>
          <w:p>
            <w:pPr>
              <w:jc w:val="right"/>
              <w:ind w:right="232"/>
              <w:spacing w:after="0"/>
              <w:rPr>
                <w:sz w:val="20"/>
                <w:szCs w:val="20"/>
                <w:color w:val="auto"/>
              </w:rPr>
            </w:pPr>
            <w:r>
              <w:rPr>
                <w:rFonts w:ascii="Arial" w:cs="Arial" w:eastAsia="Arial" w:hAnsi="Arial"/>
                <w:sz w:val="18"/>
                <w:szCs w:val="18"/>
                <w:b w:val="1"/>
                <w:bCs w:val="1"/>
                <w:color w:val="auto"/>
              </w:rPr>
              <w:t>Fair Value</w:t>
            </w:r>
          </w:p>
        </w:tc>
        <w:tc>
          <w:tcPr>
            <w:tcW w:w="1140" w:type="dxa"/>
            <w:vAlign w:val="bottom"/>
          </w:tcPr>
          <w:p>
            <w:pPr>
              <w:jc w:val="right"/>
              <w:ind w:right="12"/>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460" w:type="dxa"/>
            <w:vAlign w:val="bottom"/>
          </w:tcPr>
          <w:p>
            <w:pPr>
              <w:jc w:val="right"/>
              <w:ind w:right="172"/>
              <w:spacing w:after="0"/>
              <w:rPr>
                <w:sz w:val="20"/>
                <w:szCs w:val="20"/>
                <w:color w:val="auto"/>
              </w:rPr>
            </w:pPr>
            <w:r>
              <w:rPr>
                <w:rFonts w:ascii="Arial" w:cs="Arial" w:eastAsia="Arial" w:hAnsi="Arial"/>
                <w:sz w:val="18"/>
                <w:szCs w:val="18"/>
                <w:b w:val="1"/>
                <w:bCs w:val="1"/>
                <w:color w:val="auto"/>
              </w:rPr>
              <w:t>Amount</w:t>
            </w:r>
          </w:p>
        </w:tc>
        <w:tc>
          <w:tcPr>
            <w:tcW w:w="1420" w:type="dxa"/>
            <w:vAlign w:val="bottom"/>
          </w:tcPr>
          <w:p>
            <w:pPr>
              <w:jc w:val="right"/>
              <w:ind w:right="232"/>
              <w:spacing w:after="0"/>
              <w:rPr>
                <w:sz w:val="20"/>
                <w:szCs w:val="20"/>
                <w:color w:val="auto"/>
              </w:rPr>
            </w:pPr>
            <w:r>
              <w:rPr>
                <w:rFonts w:ascii="Arial" w:cs="Arial" w:eastAsia="Arial" w:hAnsi="Arial"/>
                <w:sz w:val="18"/>
                <w:szCs w:val="18"/>
                <w:b w:val="1"/>
                <w:bCs w:val="1"/>
                <w:color w:val="auto"/>
              </w:rPr>
              <w:t>Adjustment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3460" w:type="dxa"/>
            <w:vAlign w:val="bottom"/>
          </w:tcPr>
          <w:p>
            <w:pPr>
              <w:jc w:val="right"/>
              <w:ind w:right="172"/>
              <w:spacing w:after="0"/>
              <w:rPr>
                <w:sz w:val="20"/>
                <w:szCs w:val="20"/>
                <w:color w:val="auto"/>
              </w:rPr>
            </w:pPr>
            <w:r>
              <w:rPr>
                <w:rFonts w:ascii="Arial" w:cs="Arial" w:eastAsia="Arial" w:hAnsi="Arial"/>
                <w:sz w:val="18"/>
                <w:szCs w:val="18"/>
                <w:b w:val="1"/>
                <w:bCs w:val="1"/>
                <w:color w:val="auto"/>
              </w:rPr>
              <w:t>$’000</w:t>
            </w:r>
          </w:p>
        </w:tc>
        <w:tc>
          <w:tcPr>
            <w:tcW w:w="1420" w:type="dxa"/>
            <w:vAlign w:val="bottom"/>
          </w:tcPr>
          <w:p>
            <w:pPr>
              <w:jc w:val="right"/>
              <w:ind w:right="232"/>
              <w:spacing w:after="0"/>
              <w:rPr>
                <w:sz w:val="20"/>
                <w:szCs w:val="20"/>
                <w:color w:val="auto"/>
              </w:rPr>
            </w:pPr>
            <w:r>
              <w:rPr>
                <w:rFonts w:ascii="Arial" w:cs="Arial" w:eastAsia="Arial" w:hAnsi="Arial"/>
                <w:sz w:val="18"/>
                <w:szCs w:val="18"/>
                <w:b w:val="1"/>
                <w:bCs w:val="1"/>
                <w:color w:val="auto"/>
              </w:rPr>
              <w:t>$’000</w:t>
            </w:r>
          </w:p>
        </w:tc>
        <w:tc>
          <w:tcPr>
            <w:tcW w:w="114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490</w:t>
            </w:r>
          </w:p>
        </w:tc>
        <w:tc>
          <w:tcPr>
            <w:tcW w:w="1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Goodwill</w:t>
            </w:r>
          </w:p>
        </w:tc>
        <w:tc>
          <w:tcPr>
            <w:tcW w:w="3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2"/>
              <w:spacing w:after="0"/>
              <w:rPr>
                <w:sz w:val="20"/>
                <w:szCs w:val="20"/>
                <w:color w:val="auto"/>
              </w:rPr>
            </w:pPr>
            <w:r>
              <w:rPr>
                <w:rFonts w:ascii="Arial" w:cs="Arial" w:eastAsia="Arial" w:hAnsi="Arial"/>
                <w:sz w:val="18"/>
                <w:szCs w:val="18"/>
                <w:color w:val="auto"/>
              </w:rPr>
              <w:t>36,432</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36,432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3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6,648</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3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2"/>
              <w:spacing w:after="0"/>
              <w:rPr>
                <w:sz w:val="20"/>
                <w:szCs w:val="20"/>
                <w:color w:val="auto"/>
              </w:rPr>
            </w:pPr>
            <w:r>
              <w:rPr>
                <w:rFonts w:ascii="Arial" w:cs="Arial" w:eastAsia="Arial" w:hAnsi="Arial"/>
                <w:sz w:val="18"/>
                <w:szCs w:val="18"/>
                <w:color w:val="auto"/>
              </w:rPr>
              <w:t>618</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6,015</w:t>
            </w:r>
          </w:p>
        </w:tc>
        <w:tc>
          <w:tcPr>
            <w:tcW w:w="1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current assets</w:t>
            </w:r>
          </w:p>
        </w:tc>
        <w:tc>
          <w:tcPr>
            <w:tcW w:w="3460" w:type="dxa"/>
            <w:vAlign w:val="bottom"/>
          </w:tcPr>
          <w:p>
            <w:pPr>
              <w:jc w:val="right"/>
              <w:ind w:right="172"/>
              <w:spacing w:after="0"/>
              <w:rPr>
                <w:sz w:val="20"/>
                <w:szCs w:val="20"/>
                <w:color w:val="auto"/>
              </w:rPr>
            </w:pPr>
            <w:r>
              <w:rPr>
                <w:rFonts w:ascii="Arial" w:cs="Arial" w:eastAsia="Arial" w:hAnsi="Arial"/>
                <w:sz w:val="18"/>
                <w:szCs w:val="18"/>
                <w:color w:val="auto"/>
              </w:rPr>
              <w:t>1,354</w:t>
            </w:r>
          </w:p>
        </w:tc>
        <w:tc>
          <w:tcPr>
            <w:tcW w:w="14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5,438</w:t>
            </w:r>
          </w:p>
        </w:tc>
        <w:tc>
          <w:tcPr>
            <w:tcW w:w="1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(2,003)</w:t>
            </w:r>
          </w:p>
        </w:tc>
        <w:tc>
          <w:tcPr>
            <w:tcW w:w="1140" w:type="dxa"/>
            <w:vAlign w:val="bottom"/>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(2,128)</w:t>
            </w:r>
          </w:p>
        </w:tc>
        <w:tc>
          <w:tcPr>
            <w:tcW w:w="1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Purchase price</w:t>
            </w:r>
          </w:p>
        </w:tc>
        <w:tc>
          <w:tcPr>
            <w:tcW w:w="34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52,864</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Goodwill represents the cost of established workforce with experience in specialist services in the areas of patient reported outcomes (PRO), health economics, epidemiology and translation and linguistic validation. Goodwill is not tax deductible.</w:t>
      </w:r>
    </w:p>
    <w:p>
      <w:pPr>
        <w:spacing w:after="0" w:line="206" w:lineRule="exact"/>
        <w:rPr>
          <w:sz w:val="20"/>
          <w:szCs w:val="20"/>
          <w:color w:val="auto"/>
        </w:rPr>
      </w:pPr>
    </w:p>
    <w:p>
      <w:pPr>
        <w:jc w:val="both"/>
        <w:ind w:right="300"/>
        <w:spacing w:after="0" w:line="366" w:lineRule="auto"/>
        <w:rPr>
          <w:sz w:val="20"/>
          <w:szCs w:val="20"/>
          <w:color w:val="auto"/>
        </w:rPr>
      </w:pPr>
      <w:r>
        <w:rPr>
          <w:rFonts w:ascii="Arial" w:cs="Arial" w:eastAsia="Arial" w:hAnsi="Arial"/>
          <w:sz w:val="15"/>
          <w:szCs w:val="15"/>
          <w:color w:val="auto"/>
        </w:rPr>
        <w:t>The carrying values of accounts receivable in the above table are carried at amortised cost and assumed to be approximate to their fair values due to the short term nature of these balances. There is no evidence that the Group will not be able to collect all amounts due within the above acquired accounts receivables.</w:t>
      </w:r>
    </w:p>
    <w:p>
      <w:pPr>
        <w:spacing w:after="0" w:line="137" w:lineRule="exact"/>
        <w:rPr>
          <w:sz w:val="20"/>
          <w:szCs w:val="20"/>
          <w:color w:val="auto"/>
        </w:rPr>
      </w:pPr>
    </w:p>
    <w:p>
      <w:pPr>
        <w:ind w:right="300"/>
        <w:spacing w:after="0" w:line="265" w:lineRule="auto"/>
        <w:rPr>
          <w:sz w:val="20"/>
          <w:szCs w:val="20"/>
          <w:color w:val="auto"/>
        </w:rPr>
      </w:pPr>
      <w:r>
        <w:rPr>
          <w:rFonts w:ascii="Arial" w:cs="Arial" w:eastAsia="Arial" w:hAnsi="Arial"/>
          <w:sz w:val="18"/>
          <w:szCs w:val="18"/>
          <w:color w:val="auto"/>
        </w:rPr>
        <w:t>The proforma effect of the Oxford Outcomes acquisition if completed on 1 January 2010 would have resulted in net revenue and profit for the financial years ended 31 December 2010 and 31 December 2011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740" w:type="dxa"/>
            <w:vAlign w:val="bottom"/>
          </w:tcPr>
          <w:p>
            <w:pPr>
              <w:jc w:val="right"/>
              <w:ind w:right="132"/>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740" w:type="dxa"/>
            <w:vAlign w:val="bottom"/>
          </w:tcPr>
          <w:p>
            <w:pPr>
              <w:jc w:val="right"/>
              <w:ind w:right="132"/>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740" w:type="dxa"/>
            <w:vAlign w:val="bottom"/>
          </w:tcPr>
          <w:p>
            <w:pPr>
              <w:jc w:val="right"/>
              <w:ind w:right="132"/>
              <w:spacing w:after="0"/>
              <w:rPr>
                <w:sz w:val="20"/>
                <w:szCs w:val="20"/>
                <w:color w:val="auto"/>
              </w:rPr>
            </w:pPr>
            <w:r>
              <w:rPr>
                <w:rFonts w:ascii="Arial" w:cs="Arial" w:eastAsia="Arial" w:hAnsi="Arial"/>
                <w:sz w:val="18"/>
                <w:szCs w:val="18"/>
                <w:b w:val="1"/>
                <w:bCs w:val="1"/>
                <w:color w:val="auto"/>
              </w:rPr>
              <w:t>2011</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6740" w:type="dxa"/>
            <w:vAlign w:val="bottom"/>
          </w:tcPr>
          <w:p>
            <w:pPr>
              <w:jc w:val="right"/>
              <w:ind w:right="132"/>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25"/>
        </w:trPr>
        <w:tc>
          <w:tcPr>
            <w:tcW w:w="20" w:type="dxa"/>
            <w:vAlign w:val="bottom"/>
            <w:vMerge w:val="restart"/>
          </w:tcPr>
          <w:p>
            <w:pPr>
              <w:spacing w:after="0"/>
              <w:rPr>
                <w:sz w:val="24"/>
                <w:szCs w:val="24"/>
                <w:color w:val="auto"/>
              </w:rPr>
            </w:pPr>
          </w:p>
        </w:tc>
        <w:tc>
          <w:tcPr>
            <w:tcW w:w="34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67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945,729</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919,524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67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19,230</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90,625</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740" w:type="dxa"/>
            <w:vAlign w:val="bottom"/>
          </w:tcPr>
          <w:p>
            <w:pPr>
              <w:jc w:val="right"/>
              <w:ind w:right="4292"/>
              <w:spacing w:after="0"/>
              <w:rPr>
                <w:sz w:val="20"/>
                <w:szCs w:val="20"/>
                <w:color w:val="auto"/>
              </w:rPr>
            </w:pPr>
            <w:r>
              <w:rPr>
                <w:rFonts w:ascii="Arial" w:cs="Arial" w:eastAsia="Arial" w:hAnsi="Arial"/>
                <w:sz w:val="18"/>
                <w:szCs w:val="18"/>
                <w:color w:val="auto"/>
              </w:rPr>
              <w:t>74</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67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14. Inventories</w:t>
            </w:r>
          </w:p>
        </w:tc>
        <w:tc>
          <w:tcPr>
            <w:tcW w:w="4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860" w:type="dxa"/>
            <w:vAlign w:val="bottom"/>
          </w:tcPr>
          <w:p>
            <w:pPr>
              <w:jc w:val="right"/>
              <w:ind w:right="112"/>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86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486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Laboratory inventories</w:t>
            </w:r>
          </w:p>
        </w:tc>
        <w:tc>
          <w:tcPr>
            <w:tcW w:w="48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2,962</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bl>
    <w:p>
      <w:pPr>
        <w:ind w:right="40"/>
        <w:spacing w:after="0" w:line="250" w:lineRule="auto"/>
        <w:rPr>
          <w:sz w:val="20"/>
          <w:szCs w:val="20"/>
          <w:color w:val="auto"/>
        </w:rPr>
      </w:pPr>
      <w:r>
        <w:rPr>
          <w:rFonts w:ascii="Arial" w:cs="Arial" w:eastAsia="Arial" w:hAnsi="Arial"/>
          <w:sz w:val="18"/>
          <w:szCs w:val="18"/>
          <w:color w:val="auto"/>
        </w:rPr>
        <w:t>The cost of inventories is recognised as an expense and included in other direct costs in the income statement. $33.1 million (2011:$23.9 million) was charged in the income statement for the year ended 31 December 2012.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15. Accounts receivable</w:t>
            </w:r>
          </w:p>
        </w:tc>
        <w:tc>
          <w:tcPr>
            <w:tcW w:w="1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290,466</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206,864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Less amounts provided for doubtful debts</w:t>
            </w:r>
          </w:p>
        </w:tc>
        <w:tc>
          <w:tcPr>
            <w:tcW w:w="1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(5,047)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Accounts receivable, net</w:t>
            </w:r>
          </w:p>
        </w:tc>
        <w:tc>
          <w:tcPr>
            <w:tcW w:w="1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285,419</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201,338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Borders>
              <w:bottom w:val="single" w:sz="8" w:color="auto"/>
            </w:tcBorders>
            <w:gridSpan w:val="4"/>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7580" w:type="dxa"/>
            <w:vAlign w:val="bottom"/>
            <w:gridSpan w:val="5"/>
          </w:tcPr>
          <w:p>
            <w:pPr>
              <w:spacing w:after="0"/>
              <w:rPr>
                <w:sz w:val="20"/>
                <w:szCs w:val="20"/>
                <w:color w:val="auto"/>
              </w:rPr>
            </w:pPr>
            <w:r>
              <w:rPr>
                <w:rFonts w:ascii="Arial" w:cs="Arial" w:eastAsia="Arial" w:hAnsi="Arial"/>
                <w:sz w:val="18"/>
                <w:szCs w:val="18"/>
                <w:color w:val="auto"/>
              </w:rPr>
              <w:t>Further analysis of Group’s accounts receivable balances at 31 December 2012 is as follows:</w:t>
            </w: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Gross</w:t>
            </w:r>
          </w:p>
        </w:tc>
        <w:tc>
          <w:tcPr>
            <w:tcW w:w="1500" w:type="dxa"/>
            <w:vAlign w:val="bottom"/>
          </w:tcPr>
          <w:p>
            <w:pPr>
              <w:spacing w:after="0"/>
              <w:rPr>
                <w:sz w:val="24"/>
                <w:szCs w:val="24"/>
                <w:color w:val="auto"/>
              </w:rPr>
            </w:pPr>
          </w:p>
        </w:tc>
        <w:tc>
          <w:tcPr>
            <w:tcW w:w="1360" w:type="dxa"/>
            <w:vAlign w:val="bottom"/>
          </w:tcPr>
          <w:p>
            <w:pPr>
              <w:jc w:val="right"/>
              <w:ind w:right="232"/>
              <w:spacing w:after="0"/>
              <w:rPr>
                <w:sz w:val="20"/>
                <w:szCs w:val="20"/>
                <w:color w:val="auto"/>
              </w:rPr>
            </w:pPr>
            <w:r>
              <w:rPr>
                <w:rFonts w:ascii="Arial" w:cs="Arial" w:eastAsia="Arial" w:hAnsi="Arial"/>
                <w:sz w:val="18"/>
                <w:szCs w:val="18"/>
                <w:b w:val="1"/>
                <w:bCs w:val="1"/>
                <w:color w:val="auto"/>
              </w:rPr>
              <w:t>Net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Gross</w:t>
            </w:r>
          </w:p>
        </w:tc>
        <w:tc>
          <w:tcPr>
            <w:tcW w:w="140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accounts</w:t>
            </w:r>
          </w:p>
        </w:tc>
        <w:tc>
          <w:tcPr>
            <w:tcW w:w="1500" w:type="dxa"/>
            <w:vAlign w:val="bottom"/>
          </w:tcPr>
          <w:p>
            <w:pPr>
              <w:spacing w:after="0"/>
              <w:rPr>
                <w:sz w:val="18"/>
                <w:szCs w:val="18"/>
                <w:color w:val="auto"/>
              </w:rPr>
            </w:pPr>
          </w:p>
        </w:tc>
        <w:tc>
          <w:tcPr>
            <w:tcW w:w="1360" w:type="dxa"/>
            <w:vAlign w:val="bottom"/>
          </w:tcPr>
          <w:p>
            <w:pPr>
              <w:jc w:val="right"/>
              <w:ind w:right="232"/>
              <w:spacing w:after="0"/>
              <w:rPr>
                <w:sz w:val="20"/>
                <w:szCs w:val="20"/>
                <w:color w:val="auto"/>
              </w:rPr>
            </w:pPr>
            <w:r>
              <w:rPr>
                <w:rFonts w:ascii="Arial" w:cs="Arial" w:eastAsia="Arial" w:hAnsi="Arial"/>
                <w:sz w:val="18"/>
                <w:szCs w:val="18"/>
                <w:b w:val="1"/>
                <w:bCs w:val="1"/>
                <w:color w:val="auto"/>
              </w:rPr>
              <w:t>accounts</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accounts</w:t>
            </w:r>
          </w:p>
        </w:tc>
        <w:tc>
          <w:tcPr>
            <w:tcW w:w="140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accounts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receivable</w:t>
            </w:r>
          </w:p>
        </w:tc>
        <w:tc>
          <w:tcPr>
            <w:tcW w:w="1500" w:type="dxa"/>
            <w:vAlign w:val="bottom"/>
          </w:tcPr>
          <w:p>
            <w:pPr>
              <w:jc w:val="right"/>
              <w:ind w:right="252"/>
              <w:spacing w:after="0"/>
              <w:rPr>
                <w:sz w:val="20"/>
                <w:szCs w:val="20"/>
                <w:color w:val="auto"/>
              </w:rPr>
            </w:pPr>
            <w:r>
              <w:rPr>
                <w:rFonts w:ascii="Arial" w:cs="Arial" w:eastAsia="Arial" w:hAnsi="Arial"/>
                <w:sz w:val="18"/>
                <w:szCs w:val="18"/>
                <w:b w:val="1"/>
                <w:bCs w:val="1"/>
                <w:color w:val="auto"/>
              </w:rPr>
              <w:t>Impairment</w:t>
            </w:r>
          </w:p>
        </w:tc>
        <w:tc>
          <w:tcPr>
            <w:tcW w:w="1360" w:type="dxa"/>
            <w:vAlign w:val="bottom"/>
          </w:tcPr>
          <w:p>
            <w:pPr>
              <w:jc w:val="right"/>
              <w:ind w:right="232"/>
              <w:spacing w:after="0"/>
              <w:rPr>
                <w:sz w:val="20"/>
                <w:szCs w:val="20"/>
                <w:color w:val="auto"/>
              </w:rPr>
            </w:pPr>
            <w:r>
              <w:rPr>
                <w:rFonts w:ascii="Arial" w:cs="Arial" w:eastAsia="Arial" w:hAnsi="Arial"/>
                <w:sz w:val="18"/>
                <w:szCs w:val="18"/>
                <w:b w:val="1"/>
                <w:bCs w:val="1"/>
                <w:color w:val="auto"/>
              </w:rPr>
              <w:t>receivable</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receivable</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Impairment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receivable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500" w:type="dxa"/>
            <w:vAlign w:val="bottom"/>
          </w:tcPr>
          <w:p>
            <w:pPr>
              <w:jc w:val="right"/>
              <w:ind w:right="252"/>
              <w:spacing w:after="0"/>
              <w:rPr>
                <w:sz w:val="20"/>
                <w:szCs w:val="20"/>
                <w:color w:val="auto"/>
              </w:rPr>
            </w:pPr>
            <w:r>
              <w:rPr>
                <w:rFonts w:ascii="Arial" w:cs="Arial" w:eastAsia="Arial" w:hAnsi="Arial"/>
                <w:sz w:val="18"/>
                <w:szCs w:val="18"/>
                <w:b w:val="1"/>
                <w:bCs w:val="1"/>
                <w:color w:val="auto"/>
              </w:rPr>
              <w:t>2012</w:t>
            </w:r>
          </w:p>
        </w:tc>
        <w:tc>
          <w:tcPr>
            <w:tcW w:w="1360" w:type="dxa"/>
            <w:vAlign w:val="bottom"/>
          </w:tcPr>
          <w:p>
            <w:pPr>
              <w:jc w:val="right"/>
              <w:ind w:right="23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2011</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2011</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500" w:type="dxa"/>
            <w:vAlign w:val="bottom"/>
          </w:tcPr>
          <w:p>
            <w:pPr>
              <w:jc w:val="right"/>
              <w:ind w:right="252"/>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23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$’000</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Not past due</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221,613</w:t>
            </w:r>
          </w:p>
        </w:tc>
        <w:tc>
          <w:tcPr>
            <w:tcW w:w="15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(72)</w:t>
            </w:r>
          </w:p>
        </w:tc>
        <w:tc>
          <w:tcPr>
            <w:tcW w:w="136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221,541</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146,421</w:t>
            </w:r>
          </w:p>
        </w:tc>
        <w:tc>
          <w:tcPr>
            <w:tcW w:w="1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(290)</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146,131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Past due 0 to 30 days</w:t>
            </w: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30,964</w:t>
            </w:r>
          </w:p>
        </w:tc>
        <w:tc>
          <w:tcPr>
            <w:tcW w:w="1500" w:type="dxa"/>
            <w:vAlign w:val="bottom"/>
          </w:tcPr>
          <w:p>
            <w:pPr>
              <w:jc w:val="right"/>
              <w:ind w:right="192"/>
              <w:spacing w:after="0"/>
              <w:rPr>
                <w:sz w:val="20"/>
                <w:szCs w:val="20"/>
                <w:color w:val="auto"/>
              </w:rPr>
            </w:pPr>
            <w:r>
              <w:rPr>
                <w:rFonts w:ascii="Arial" w:cs="Arial" w:eastAsia="Arial" w:hAnsi="Arial"/>
                <w:sz w:val="18"/>
                <w:szCs w:val="18"/>
                <w:b w:val="1"/>
                <w:bCs w:val="1"/>
                <w:color w:val="auto"/>
              </w:rPr>
              <w:t>(338)</w:t>
            </w:r>
          </w:p>
        </w:tc>
        <w:tc>
          <w:tcPr>
            <w:tcW w:w="1360" w:type="dxa"/>
            <w:vAlign w:val="bottom"/>
          </w:tcPr>
          <w:p>
            <w:pPr>
              <w:jc w:val="right"/>
              <w:ind w:right="232"/>
              <w:spacing w:after="0"/>
              <w:rPr>
                <w:sz w:val="20"/>
                <w:szCs w:val="20"/>
                <w:color w:val="auto"/>
              </w:rPr>
            </w:pPr>
            <w:r>
              <w:rPr>
                <w:rFonts w:ascii="Arial" w:cs="Arial" w:eastAsia="Arial" w:hAnsi="Arial"/>
                <w:sz w:val="18"/>
                <w:szCs w:val="18"/>
                <w:b w:val="1"/>
                <w:bCs w:val="1"/>
                <w:color w:val="auto"/>
              </w:rPr>
              <w:t>30,626</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31,481</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(829)</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30,652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Past due 31 to 60 days</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14,467</w:t>
            </w:r>
          </w:p>
        </w:tc>
        <w:tc>
          <w:tcPr>
            <w:tcW w:w="15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(34)</w:t>
            </w:r>
          </w:p>
        </w:tc>
        <w:tc>
          <w:tcPr>
            <w:tcW w:w="136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14,433</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8,744</w:t>
            </w: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8,744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Past due 61+ days</w:t>
            </w: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23,422</w:t>
            </w: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(4,603)</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18,819</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20,218</w:t>
            </w: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(4,407)</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15,811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Accounts receivable</w:t>
            </w: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290,466</w:t>
            </w: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(5,047)</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285,419</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206,864</w:t>
            </w: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(5,526)</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201,338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provision for impairment is recognised where there is objective evidence that the Group will not be able to collect all amounts due according to the original terms of the receivable. At 31 December 2012, the Group maintained an impairment provision of $5.0 million (2011: $5.5 million). Movement on the accounts receivable impairment provision during the year was as follows: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15. Accounts receivable </w:t>
            </w:r>
            <w:r>
              <w:rPr>
                <w:rFonts w:ascii="Arial" w:cs="Arial" w:eastAsia="Arial" w:hAnsi="Arial"/>
                <w:sz w:val="18"/>
                <w:szCs w:val="18"/>
                <w:b w:val="1"/>
                <w:bCs w:val="1"/>
                <w:i w:val="1"/>
                <w:iCs w:val="1"/>
                <w:color w:val="auto"/>
              </w:rPr>
              <w:t>(continued)</w:t>
            </w:r>
          </w:p>
        </w:tc>
        <w:tc>
          <w:tcPr>
            <w:tcW w:w="1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160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60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Accounts receivable impairment provision</w:t>
            </w:r>
          </w:p>
        </w:tc>
        <w:tc>
          <w:tcPr>
            <w:tcW w:w="160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2"/>
        </w:trPr>
        <w:tc>
          <w:tcPr>
            <w:tcW w:w="860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Balance at start of year</w:t>
            </w:r>
          </w:p>
        </w:tc>
        <w:tc>
          <w:tcPr>
            <w:tcW w:w="16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5,526</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Amounts used during the year</w:t>
            </w:r>
          </w:p>
        </w:tc>
        <w:tc>
          <w:tcPr>
            <w:tcW w:w="1600" w:type="dxa"/>
            <w:vAlign w:val="bottom"/>
          </w:tcPr>
          <w:p>
            <w:pPr>
              <w:jc w:val="right"/>
              <w:ind w:right="92"/>
              <w:spacing w:after="0"/>
              <w:rPr>
                <w:sz w:val="20"/>
                <w:szCs w:val="20"/>
                <w:color w:val="auto"/>
              </w:rPr>
            </w:pPr>
            <w:r>
              <w:rPr>
                <w:rFonts w:ascii="Arial" w:cs="Arial" w:eastAsia="Arial" w:hAnsi="Arial"/>
                <w:sz w:val="18"/>
                <w:szCs w:val="18"/>
                <w:b w:val="1"/>
                <w:bCs w:val="1"/>
                <w:color w:val="auto"/>
              </w:rPr>
              <w:t>(756)</w:t>
            </w:r>
          </w:p>
        </w:tc>
        <w:tc>
          <w:tcPr>
            <w:tcW w:w="1220" w:type="dxa"/>
            <w:vAlign w:val="bottom"/>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Amounts provided for during the year</w:t>
            </w:r>
          </w:p>
        </w:tc>
        <w:tc>
          <w:tcPr>
            <w:tcW w:w="16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382</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Amounts released during the year</w:t>
            </w:r>
          </w:p>
        </w:tc>
        <w:tc>
          <w:tcPr>
            <w:tcW w:w="1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(105)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end of year</w:t>
            </w:r>
          </w:p>
        </w:tc>
        <w:tc>
          <w:tcPr>
            <w:tcW w:w="1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5,047</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5,526</w:t>
            </w:r>
          </w:p>
        </w:tc>
        <w:tc>
          <w:tcPr>
            <w:tcW w:w="0" w:type="dxa"/>
            <w:vAlign w:val="bottom"/>
          </w:tcPr>
          <w:p>
            <w:pPr>
              <w:spacing w:after="0"/>
              <w:rPr>
                <w:sz w:val="1"/>
                <w:szCs w:val="1"/>
                <w:color w:val="auto"/>
              </w:rPr>
            </w:pPr>
          </w:p>
        </w:tc>
      </w:tr>
      <w:tr>
        <w:trPr>
          <w:trHeight w:val="20"/>
        </w:trPr>
        <w:tc>
          <w:tcPr>
            <w:tcW w:w="86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All receivables are due within twelve months of the year ended 31 December 2012.</w:t>
            </w:r>
          </w:p>
        </w:tc>
        <w:tc>
          <w:tcPr>
            <w:tcW w:w="16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8600" w:type="dxa"/>
            <w:vAlign w:val="bottom"/>
            <w:gridSpan w:val="2"/>
          </w:tcPr>
          <w:p>
            <w:pPr>
              <w:spacing w:after="0"/>
              <w:rPr>
                <w:sz w:val="20"/>
                <w:szCs w:val="20"/>
                <w:color w:val="auto"/>
              </w:rPr>
            </w:pPr>
            <w:r>
              <w:rPr>
                <w:rFonts w:ascii="Arial" w:cs="Arial" w:eastAsia="Arial" w:hAnsi="Arial"/>
                <w:sz w:val="18"/>
                <w:szCs w:val="18"/>
                <w:color w:val="auto"/>
              </w:rPr>
              <w:t>The carrying amounts of the Group’s accounts receivables are denominated in the following currencies:</w:t>
            </w: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160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60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Currency</w:t>
            </w:r>
          </w:p>
        </w:tc>
        <w:tc>
          <w:tcPr>
            <w:tcW w:w="160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16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134,691</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134,265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Euro</w:t>
            </w:r>
          </w:p>
        </w:tc>
        <w:tc>
          <w:tcPr>
            <w:tcW w:w="1600" w:type="dxa"/>
            <w:vAlign w:val="bottom"/>
          </w:tcPr>
          <w:p>
            <w:pPr>
              <w:jc w:val="right"/>
              <w:ind w:right="152"/>
              <w:spacing w:after="0"/>
              <w:rPr>
                <w:sz w:val="20"/>
                <w:szCs w:val="20"/>
                <w:color w:val="auto"/>
              </w:rPr>
            </w:pPr>
            <w:r>
              <w:rPr>
                <w:rFonts w:ascii="Arial" w:cs="Arial" w:eastAsia="Arial" w:hAnsi="Arial"/>
                <w:sz w:val="18"/>
                <w:szCs w:val="18"/>
                <w:b w:val="1"/>
                <w:bCs w:val="1"/>
                <w:color w:val="auto"/>
              </w:rPr>
              <w:t>135,506</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51,468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Sterling</w:t>
            </w:r>
          </w:p>
        </w:tc>
        <w:tc>
          <w:tcPr>
            <w:tcW w:w="16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10,997</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10,873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currencies</w:t>
            </w:r>
          </w:p>
        </w:tc>
        <w:tc>
          <w:tcPr>
            <w:tcW w:w="1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4,225</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285,419</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201,338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16. Other assets</w:t>
            </w: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160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60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Non-current other assets</w:t>
            </w:r>
          </w:p>
        </w:tc>
        <w:tc>
          <w:tcPr>
            <w:tcW w:w="160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2"/>
        </w:trPr>
        <w:tc>
          <w:tcPr>
            <w:tcW w:w="860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Lease deposits</w:t>
            </w:r>
          </w:p>
        </w:tc>
        <w:tc>
          <w:tcPr>
            <w:tcW w:w="16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6,584</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employee savings scheme assets</w:t>
            </w:r>
          </w:p>
        </w:tc>
        <w:tc>
          <w:tcPr>
            <w:tcW w:w="1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4,768</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11,352</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10,601</w:t>
            </w:r>
          </w:p>
        </w:tc>
        <w:tc>
          <w:tcPr>
            <w:tcW w:w="0" w:type="dxa"/>
            <w:vAlign w:val="bottom"/>
          </w:tcPr>
          <w:p>
            <w:pPr>
              <w:spacing w:after="0"/>
              <w:rPr>
                <w:sz w:val="1"/>
                <w:szCs w:val="1"/>
                <w:color w:val="auto"/>
              </w:rPr>
            </w:pPr>
          </w:p>
        </w:tc>
      </w:tr>
      <w:tr>
        <w:trPr>
          <w:trHeight w:val="20"/>
        </w:trPr>
        <w:tc>
          <w:tcPr>
            <w:tcW w:w="86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Lease deposits paid in respect of certain premises leased by the Group are refundable on expiry of the related leases.</w:t>
            </w:r>
          </w:p>
        </w:tc>
        <w:tc>
          <w:tcPr>
            <w:tcW w:w="16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160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60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current assets</w:t>
            </w:r>
          </w:p>
        </w:tc>
        <w:tc>
          <w:tcPr>
            <w:tcW w:w="160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2"/>
        </w:trPr>
        <w:tc>
          <w:tcPr>
            <w:tcW w:w="860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prepayments</w:t>
            </w:r>
          </w:p>
        </w:tc>
        <w:tc>
          <w:tcPr>
            <w:tcW w:w="16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559</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Facility and information system related prepayments</w:t>
            </w:r>
          </w:p>
        </w:tc>
        <w:tc>
          <w:tcPr>
            <w:tcW w:w="1600" w:type="dxa"/>
            <w:vAlign w:val="bottom"/>
          </w:tcPr>
          <w:p>
            <w:pPr>
              <w:jc w:val="right"/>
              <w:ind w:right="152"/>
              <w:spacing w:after="0"/>
              <w:rPr>
                <w:sz w:val="20"/>
                <w:szCs w:val="20"/>
                <w:color w:val="auto"/>
              </w:rPr>
            </w:pPr>
            <w:r>
              <w:rPr>
                <w:rFonts w:ascii="Arial" w:cs="Arial" w:eastAsia="Arial" w:hAnsi="Arial"/>
                <w:sz w:val="18"/>
                <w:szCs w:val="18"/>
                <w:b w:val="1"/>
                <w:bCs w:val="1"/>
                <w:color w:val="auto"/>
              </w:rPr>
              <w:t>11,322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11,361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General overhead prepayments</w:t>
            </w:r>
          </w:p>
        </w:tc>
        <w:tc>
          <w:tcPr>
            <w:tcW w:w="16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6,403</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Sales tax recoverable</w:t>
            </w:r>
          </w:p>
        </w:tc>
        <w:tc>
          <w:tcPr>
            <w:tcW w:w="1600" w:type="dxa"/>
            <w:vAlign w:val="bottom"/>
          </w:tcPr>
          <w:p>
            <w:pPr>
              <w:jc w:val="right"/>
              <w:ind w:right="152"/>
              <w:spacing w:after="0"/>
              <w:rPr>
                <w:sz w:val="20"/>
                <w:szCs w:val="20"/>
                <w:color w:val="auto"/>
              </w:rPr>
            </w:pPr>
            <w:r>
              <w:rPr>
                <w:rFonts w:ascii="Arial" w:cs="Arial" w:eastAsia="Arial" w:hAnsi="Arial"/>
                <w:sz w:val="18"/>
                <w:szCs w:val="18"/>
                <w:b w:val="1"/>
                <w:bCs w:val="1"/>
                <w:color w:val="auto"/>
              </w:rPr>
              <w:t>5,580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5,588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6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3,948</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4,532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8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27,812</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26,409</w:t>
            </w:r>
          </w:p>
        </w:tc>
        <w:tc>
          <w:tcPr>
            <w:tcW w:w="0" w:type="dxa"/>
            <w:vAlign w:val="bottom"/>
          </w:tcPr>
          <w:p>
            <w:pPr>
              <w:spacing w:after="0"/>
              <w:rPr>
                <w:sz w:val="1"/>
                <w:szCs w:val="1"/>
                <w:color w:val="auto"/>
              </w:rPr>
            </w:pPr>
          </w:p>
        </w:tc>
      </w:tr>
      <w:tr>
        <w:trPr>
          <w:trHeight w:val="589"/>
        </w:trPr>
        <w:tc>
          <w:tcPr>
            <w:tcW w:w="8600" w:type="dxa"/>
            <w:vAlign w:val="bottom"/>
            <w:gridSpan w:val="2"/>
          </w:tcPr>
          <w:p>
            <w:pPr>
              <w:ind w:left="5620"/>
              <w:spacing w:after="0"/>
              <w:rPr>
                <w:sz w:val="20"/>
                <w:szCs w:val="20"/>
                <w:color w:val="auto"/>
              </w:rPr>
            </w:pPr>
            <w:r>
              <w:rPr>
                <w:rFonts w:ascii="Arial" w:cs="Arial" w:eastAsia="Arial" w:hAnsi="Arial"/>
                <w:sz w:val="18"/>
                <w:szCs w:val="18"/>
                <w:color w:val="auto"/>
              </w:rPr>
              <w:t>76</w:t>
            </w: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5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Other assets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Other current assets do not contain any impaired assets. The maximum exposure to credit risk at the reporting date is the carrying value of each receivable. The Group does not hold any collateral as security.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17. Current asset investments</w:t>
            </w:r>
          </w:p>
        </w:tc>
        <w:tc>
          <w:tcPr>
            <w:tcW w:w="4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18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418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418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At start of year</w:t>
            </w:r>
          </w:p>
        </w:tc>
        <w:tc>
          <w:tcPr>
            <w:tcW w:w="41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54,940</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Additions</w:t>
            </w:r>
          </w:p>
        </w:tc>
        <w:tc>
          <w:tcPr>
            <w:tcW w:w="4180" w:type="dxa"/>
            <w:vAlign w:val="bottom"/>
          </w:tcPr>
          <w:p>
            <w:pPr>
              <w:jc w:val="right"/>
              <w:ind w:right="152"/>
              <w:spacing w:after="0"/>
              <w:rPr>
                <w:sz w:val="20"/>
                <w:szCs w:val="20"/>
                <w:color w:val="auto"/>
              </w:rPr>
            </w:pPr>
            <w:r>
              <w:rPr>
                <w:rFonts w:ascii="Arial" w:cs="Arial" w:eastAsia="Arial" w:hAnsi="Arial"/>
                <w:sz w:val="18"/>
                <w:szCs w:val="18"/>
                <w:b w:val="1"/>
                <w:bCs w:val="1"/>
                <w:color w:val="auto"/>
              </w:rPr>
              <w:t>102,575</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56,000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41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(82,193)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Unrealised capital gain/(loss) - investments</w:t>
            </w:r>
          </w:p>
        </w:tc>
        <w:tc>
          <w:tcPr>
            <w:tcW w:w="4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861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end of year</w:t>
            </w:r>
          </w:p>
        </w:tc>
        <w:tc>
          <w:tcPr>
            <w:tcW w:w="4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76,183</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Current asset investments are reported at fair value, with unrealised gains or losses recorded in other comprehensive income. During the year ended 31 December 2012 an unrealised gain of $0.9 million (2011: unrealised loss of $0.6 million) was recorded.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18. Cash and cash equivalents</w:t>
            </w:r>
          </w:p>
        </w:tc>
        <w:tc>
          <w:tcPr>
            <w:tcW w:w="4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540" w:type="dxa"/>
            <w:vAlign w:val="bottom"/>
          </w:tcPr>
          <w:p>
            <w:pPr>
              <w:jc w:val="right"/>
              <w:ind w:right="112"/>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54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454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25"/>
        </w:trPr>
        <w:tc>
          <w:tcPr>
            <w:tcW w:w="20" w:type="dxa"/>
            <w:vAlign w:val="bottom"/>
            <w:vMerge w:val="restart"/>
          </w:tcPr>
          <w:p>
            <w:pPr>
              <w:spacing w:after="0"/>
              <w:rPr>
                <w:sz w:val="24"/>
                <w:szCs w:val="24"/>
                <w:color w:val="auto"/>
              </w:rPr>
            </w:pPr>
          </w:p>
        </w:tc>
        <w:tc>
          <w:tcPr>
            <w:tcW w:w="56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at bank and in hand</w:t>
            </w:r>
          </w:p>
        </w:tc>
        <w:tc>
          <w:tcPr>
            <w:tcW w:w="454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48,118</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58,823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Short term deposits</w:t>
            </w:r>
          </w:p>
        </w:tc>
        <w:tc>
          <w:tcPr>
            <w:tcW w:w="4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65,929</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60,414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4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114,047</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560"/>
        <w:spacing w:after="0" w:line="265" w:lineRule="auto"/>
        <w:rPr>
          <w:sz w:val="20"/>
          <w:szCs w:val="20"/>
          <w:color w:val="auto"/>
        </w:rPr>
      </w:pPr>
      <w:r>
        <w:rPr>
          <w:rFonts w:ascii="Arial" w:cs="Arial" w:eastAsia="Arial" w:hAnsi="Arial"/>
          <w:sz w:val="18"/>
          <w:szCs w:val="18"/>
          <w:color w:val="auto"/>
        </w:rPr>
        <w:t>Current asset investments comprise highly liquid investments with maturities of greater than three months and minimum “A” rated fixed and floating rate securities.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19. Accrued and other liabilities</w:t>
            </w: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940" w:type="dxa"/>
            <w:vAlign w:val="bottom"/>
          </w:tcPr>
          <w:p>
            <w:pPr>
              <w:jc w:val="right"/>
              <w:ind w:right="112"/>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94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8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Non-current other liabilities</w:t>
            </w:r>
          </w:p>
        </w:tc>
        <w:tc>
          <w:tcPr>
            <w:tcW w:w="194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2"/>
        </w:trPr>
        <w:tc>
          <w:tcPr>
            <w:tcW w:w="8220" w:type="dxa"/>
            <w:vAlign w:val="bottom"/>
            <w:gridSpan w:val="2"/>
            <w:vMerge w:val="continue"/>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liabilities*</w:t>
            </w:r>
          </w:p>
        </w:tc>
        <w:tc>
          <w:tcPr>
            <w:tcW w:w="194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6,920</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Deferred government grants (note 21)</w:t>
            </w:r>
          </w:p>
        </w:tc>
        <w:tc>
          <w:tcPr>
            <w:tcW w:w="1940" w:type="dxa"/>
            <w:vAlign w:val="bottom"/>
          </w:tcPr>
          <w:p>
            <w:pPr>
              <w:jc w:val="right"/>
              <w:ind w:right="112"/>
              <w:spacing w:after="0"/>
              <w:rPr>
                <w:sz w:val="20"/>
                <w:szCs w:val="20"/>
                <w:color w:val="auto"/>
              </w:rPr>
            </w:pPr>
            <w:r>
              <w:rPr>
                <w:rFonts w:ascii="Arial" w:cs="Arial" w:eastAsia="Arial" w:hAnsi="Arial"/>
                <w:sz w:val="18"/>
                <w:szCs w:val="18"/>
                <w:b w:val="1"/>
                <w:bCs w:val="1"/>
                <w:color w:val="auto"/>
              </w:rPr>
              <w:t>1,427</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 plan net obligation</w:t>
            </w:r>
          </w:p>
        </w:tc>
        <w:tc>
          <w:tcPr>
            <w:tcW w:w="194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4,721</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employee savings scheme liabilities**</w:t>
            </w:r>
          </w:p>
        </w:tc>
        <w:tc>
          <w:tcPr>
            <w:tcW w:w="1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2,671</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8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15,739</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9,486</w:t>
            </w:r>
          </w:p>
        </w:tc>
        <w:tc>
          <w:tcPr>
            <w:tcW w:w="0" w:type="dxa"/>
            <w:vAlign w:val="bottom"/>
          </w:tcPr>
          <w:p>
            <w:pPr>
              <w:spacing w:after="0"/>
              <w:rPr>
                <w:sz w:val="1"/>
                <w:szCs w:val="1"/>
                <w:color w:val="auto"/>
              </w:rPr>
            </w:pPr>
          </w:p>
        </w:tc>
      </w:tr>
      <w:tr>
        <w:trPr>
          <w:trHeight w:val="20"/>
        </w:trPr>
        <w:tc>
          <w:tcPr>
            <w:tcW w:w="82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20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 xml:space="preserve">*Personnel related liabilities are payable between 1 and 5 years from the reporting date </w:t>
            </w:r>
            <w:r>
              <w:rPr>
                <w:rFonts w:ascii="Arial" w:cs="Arial" w:eastAsia="Arial" w:hAnsi="Arial"/>
                <w:sz w:val="18"/>
                <w:szCs w:val="18"/>
                <w:i w:val="1"/>
                <w:iCs w:val="1"/>
                <w:color w:val="auto"/>
              </w:rPr>
              <w:t>(see note 25)</w:t>
            </w:r>
            <w:r>
              <w:rPr>
                <w:rFonts w:ascii="Arial" w:cs="Arial" w:eastAsia="Arial" w:hAnsi="Arial"/>
                <w:sz w:val="18"/>
                <w:szCs w:val="18"/>
                <w:color w:val="auto"/>
              </w:rPr>
              <w:t>.</w:t>
            </w:r>
          </w:p>
        </w:tc>
        <w:tc>
          <w:tcPr>
            <w:tcW w:w="19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220" w:type="dxa"/>
            <w:vAlign w:val="bottom"/>
            <w:gridSpan w:val="2"/>
          </w:tcPr>
          <w:p>
            <w:pPr>
              <w:spacing w:after="0"/>
              <w:rPr>
                <w:sz w:val="20"/>
                <w:szCs w:val="20"/>
                <w:color w:val="auto"/>
              </w:rPr>
            </w:pPr>
            <w:r>
              <w:rPr>
                <w:rFonts w:ascii="Arial" w:cs="Arial" w:eastAsia="Arial" w:hAnsi="Arial"/>
                <w:sz w:val="18"/>
                <w:szCs w:val="18"/>
                <w:color w:val="auto"/>
                <w:w w:val="97"/>
              </w:rPr>
              <w:t>**Deferred employee savings scheme liabilities are payable between 1 to 2 years from the reporting date.</w:t>
            </w: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0"/>
        </w:trPr>
        <w:tc>
          <w:tcPr>
            <w:tcW w:w="8220" w:type="dxa"/>
            <w:vAlign w:val="bottom"/>
            <w:gridSpan w:val="2"/>
          </w:tcPr>
          <w:p>
            <w:pPr>
              <w:jc w:val="right"/>
              <w:ind w:right="2332"/>
              <w:spacing w:after="0"/>
              <w:rPr>
                <w:sz w:val="20"/>
                <w:szCs w:val="20"/>
                <w:color w:val="auto"/>
              </w:rPr>
            </w:pPr>
            <w:r>
              <w:rPr>
                <w:rFonts w:ascii="Arial" w:cs="Arial" w:eastAsia="Arial" w:hAnsi="Arial"/>
                <w:sz w:val="18"/>
                <w:szCs w:val="18"/>
                <w:color w:val="auto"/>
              </w:rPr>
              <w:t>77</w:t>
            </w: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20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19. Accrued and other liabilities </w:t>
            </w:r>
            <w:r>
              <w:rPr>
                <w:rFonts w:ascii="Arial" w:cs="Arial" w:eastAsia="Arial" w:hAnsi="Arial"/>
                <w:sz w:val="18"/>
                <w:szCs w:val="18"/>
                <w:b w:val="1"/>
                <w:bCs w:val="1"/>
                <w:i w:val="1"/>
                <w:iCs w:val="1"/>
                <w:color w:val="auto"/>
              </w:rPr>
              <w:t>(continued)</w:t>
            </w:r>
          </w:p>
        </w:tc>
        <w:tc>
          <w:tcPr>
            <w:tcW w:w="5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64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ind w:left="160"/>
              <w:spacing w:after="0"/>
              <w:rPr>
                <w:sz w:val="20"/>
                <w:szCs w:val="20"/>
                <w:color w:val="auto"/>
              </w:rPr>
            </w:pPr>
            <w:r>
              <w:rPr>
                <w:rFonts w:ascii="Arial" w:cs="Arial" w:eastAsia="Arial" w:hAnsi="Arial"/>
                <w:sz w:val="18"/>
                <w:szCs w:val="18"/>
                <w:color w:val="auto"/>
                <w:w w:val="96"/>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564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4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Current accrued and other liabilities</w:t>
            </w:r>
          </w:p>
        </w:tc>
        <w:tc>
          <w:tcPr>
            <w:tcW w:w="564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2"/>
        </w:trPr>
        <w:tc>
          <w:tcPr>
            <w:tcW w:w="4560" w:type="dxa"/>
            <w:vAlign w:val="bottom"/>
            <w:gridSpan w:val="2"/>
            <w:vMerge w:val="continue"/>
          </w:tcPr>
          <w:p>
            <w:pPr>
              <w:spacing w:after="0"/>
              <w:rPr>
                <w:sz w:val="18"/>
                <w:szCs w:val="18"/>
                <w:color w:val="auto"/>
              </w:rPr>
            </w:pPr>
          </w:p>
        </w:tc>
        <w:tc>
          <w:tcPr>
            <w:tcW w:w="5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liabilities</w:t>
            </w:r>
          </w:p>
        </w:tc>
        <w:tc>
          <w:tcPr>
            <w:tcW w:w="56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90,901</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62,017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Facility and information system related liabilities</w:t>
            </w:r>
          </w:p>
        </w:tc>
        <w:tc>
          <w:tcPr>
            <w:tcW w:w="5640" w:type="dxa"/>
            <w:vAlign w:val="bottom"/>
          </w:tcPr>
          <w:p>
            <w:pPr>
              <w:jc w:val="right"/>
              <w:ind w:right="152"/>
              <w:spacing w:after="0"/>
              <w:rPr>
                <w:sz w:val="20"/>
                <w:szCs w:val="20"/>
                <w:color w:val="auto"/>
              </w:rPr>
            </w:pPr>
            <w:r>
              <w:rPr>
                <w:rFonts w:ascii="Arial" w:cs="Arial" w:eastAsia="Arial" w:hAnsi="Arial"/>
                <w:sz w:val="18"/>
                <w:szCs w:val="18"/>
                <w:b w:val="1"/>
                <w:bCs w:val="1"/>
                <w:color w:val="auto"/>
              </w:rPr>
              <w:t>15,394</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14,780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General overhead liabilities</w:t>
            </w:r>
          </w:p>
        </w:tc>
        <w:tc>
          <w:tcPr>
            <w:tcW w:w="56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24,918</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24,520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liabilities</w:t>
            </w:r>
          </w:p>
        </w:tc>
        <w:tc>
          <w:tcPr>
            <w:tcW w:w="5640" w:type="dxa"/>
            <w:vAlign w:val="bottom"/>
          </w:tcPr>
          <w:p>
            <w:pPr>
              <w:jc w:val="right"/>
              <w:ind w:right="152"/>
              <w:spacing w:after="0"/>
              <w:rPr>
                <w:sz w:val="20"/>
                <w:szCs w:val="20"/>
                <w:color w:val="auto"/>
              </w:rPr>
            </w:pPr>
            <w:r>
              <w:rPr>
                <w:rFonts w:ascii="Arial" w:cs="Arial" w:eastAsia="Arial" w:hAnsi="Arial"/>
                <w:sz w:val="18"/>
                <w:szCs w:val="18"/>
                <w:b w:val="1"/>
                <w:bCs w:val="1"/>
                <w:color w:val="auto"/>
              </w:rPr>
              <w:t>2,457</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Short term government grants (note 21)</w:t>
            </w:r>
          </w:p>
        </w:tc>
        <w:tc>
          <w:tcPr>
            <w:tcW w:w="56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235</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repurchase programme</w:t>
            </w:r>
          </w:p>
        </w:tc>
        <w:tc>
          <w:tcPr>
            <w:tcW w:w="5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133,905</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104,478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5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20. Provisions</w:t>
            </w:r>
          </w:p>
        </w:tc>
        <w:tc>
          <w:tcPr>
            <w:tcW w:w="5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64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ind w:left="160"/>
              <w:spacing w:after="0"/>
              <w:rPr>
                <w:sz w:val="20"/>
                <w:szCs w:val="20"/>
                <w:color w:val="auto"/>
              </w:rPr>
            </w:pPr>
            <w:r>
              <w:rPr>
                <w:rFonts w:ascii="Arial" w:cs="Arial" w:eastAsia="Arial" w:hAnsi="Arial"/>
                <w:sz w:val="18"/>
                <w:szCs w:val="18"/>
                <w:color w:val="auto"/>
                <w:w w:val="96"/>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564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4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Non-current provisions</w:t>
            </w:r>
          </w:p>
        </w:tc>
        <w:tc>
          <w:tcPr>
            <w:tcW w:w="564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2"/>
        </w:trPr>
        <w:tc>
          <w:tcPr>
            <w:tcW w:w="4560" w:type="dxa"/>
            <w:vAlign w:val="bottom"/>
            <w:gridSpan w:val="2"/>
            <w:vMerge w:val="continue"/>
          </w:tcPr>
          <w:p>
            <w:pPr>
              <w:spacing w:after="0"/>
              <w:rPr>
                <w:sz w:val="18"/>
                <w:szCs w:val="18"/>
                <w:color w:val="auto"/>
              </w:rPr>
            </w:pPr>
          </w:p>
        </w:tc>
        <w:tc>
          <w:tcPr>
            <w:tcW w:w="5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Acquisition consideration payable (note 13)</w:t>
            </w:r>
          </w:p>
        </w:tc>
        <w:tc>
          <w:tcPr>
            <w:tcW w:w="56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11,903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6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11,903</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640" w:type="dxa"/>
            <w:vAlign w:val="bottom"/>
          </w:tcPr>
          <w:p>
            <w:pPr>
              <w:jc w:val="right"/>
              <w:ind w:right="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ind w:left="160"/>
              <w:spacing w:after="0"/>
              <w:rPr>
                <w:sz w:val="20"/>
                <w:szCs w:val="20"/>
                <w:color w:val="auto"/>
              </w:rPr>
            </w:pPr>
            <w:r>
              <w:rPr>
                <w:rFonts w:ascii="Arial" w:cs="Arial" w:eastAsia="Arial" w:hAnsi="Arial"/>
                <w:sz w:val="18"/>
                <w:szCs w:val="18"/>
                <w:color w:val="auto"/>
                <w:w w:val="96"/>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5640" w:type="dxa"/>
            <w:vAlign w:val="bottom"/>
          </w:tcPr>
          <w:p>
            <w:pPr>
              <w:jc w:val="right"/>
              <w:ind w:right="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4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Current provisions</w:t>
            </w:r>
          </w:p>
        </w:tc>
        <w:tc>
          <w:tcPr>
            <w:tcW w:w="5640" w:type="dxa"/>
            <w:vAlign w:val="bottom"/>
          </w:tcPr>
          <w:p>
            <w:pPr>
              <w:jc w:val="right"/>
              <w:ind w:right="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2"/>
        </w:trPr>
        <w:tc>
          <w:tcPr>
            <w:tcW w:w="4560" w:type="dxa"/>
            <w:vAlign w:val="bottom"/>
            <w:gridSpan w:val="2"/>
            <w:vMerge w:val="continue"/>
          </w:tcPr>
          <w:p>
            <w:pPr>
              <w:spacing w:after="0"/>
              <w:rPr>
                <w:sz w:val="18"/>
                <w:szCs w:val="18"/>
                <w:color w:val="auto"/>
              </w:rPr>
            </w:pPr>
          </w:p>
        </w:tc>
        <w:tc>
          <w:tcPr>
            <w:tcW w:w="5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provision (note 7)</w:t>
            </w:r>
          </w:p>
        </w:tc>
        <w:tc>
          <w:tcPr>
            <w:tcW w:w="56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926</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Acquisition consideration payable (note 13)</w:t>
            </w:r>
          </w:p>
        </w:tc>
        <w:tc>
          <w:tcPr>
            <w:tcW w:w="5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46,264</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37,615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47,190</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5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640" w:type="dxa"/>
            <w:vAlign w:val="bottom"/>
          </w:tcPr>
          <w:p>
            <w:pPr>
              <w:jc w:val="right"/>
              <w:ind w:right="4312"/>
              <w:spacing w:after="0"/>
              <w:rPr>
                <w:sz w:val="20"/>
                <w:szCs w:val="20"/>
                <w:color w:val="auto"/>
              </w:rPr>
            </w:pPr>
            <w:r>
              <w:rPr>
                <w:rFonts w:ascii="Arial" w:cs="Arial" w:eastAsia="Arial" w:hAnsi="Arial"/>
                <w:sz w:val="18"/>
                <w:szCs w:val="18"/>
                <w:color w:val="auto"/>
              </w:rPr>
              <w:t>78</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56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21. Deferred government grants</w:t>
            </w:r>
          </w:p>
        </w:tc>
        <w:tc>
          <w:tcPr>
            <w:tcW w:w="4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426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426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426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At beginning of year</w:t>
            </w:r>
          </w:p>
        </w:tc>
        <w:tc>
          <w:tcPr>
            <w:tcW w:w="42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1,430</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Additions</w:t>
            </w:r>
          </w:p>
        </w:tc>
        <w:tc>
          <w:tcPr>
            <w:tcW w:w="4260" w:type="dxa"/>
            <w:vAlign w:val="bottom"/>
          </w:tcPr>
          <w:p>
            <w:pPr>
              <w:jc w:val="right"/>
              <w:ind w:right="152"/>
              <w:spacing w:after="0"/>
              <w:rPr>
                <w:sz w:val="20"/>
                <w:szCs w:val="20"/>
                <w:color w:val="auto"/>
              </w:rPr>
            </w:pPr>
            <w:r>
              <w:rPr>
                <w:rFonts w:ascii="Arial" w:cs="Arial" w:eastAsia="Arial" w:hAnsi="Arial"/>
                <w:sz w:val="18"/>
                <w:szCs w:val="18"/>
                <w:b w:val="1"/>
                <w:bCs w:val="1"/>
                <w:color w:val="auto"/>
              </w:rPr>
              <w:t>340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Amortised during the year</w:t>
            </w:r>
          </w:p>
        </w:tc>
        <w:tc>
          <w:tcPr>
            <w:tcW w:w="42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(154)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4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46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end of year</w:t>
            </w:r>
          </w:p>
        </w:tc>
        <w:tc>
          <w:tcPr>
            <w:tcW w:w="4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1,662</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Current</w:t>
            </w:r>
          </w:p>
        </w:tc>
        <w:tc>
          <w:tcPr>
            <w:tcW w:w="4260" w:type="dxa"/>
            <w:vAlign w:val="bottom"/>
          </w:tcPr>
          <w:p>
            <w:pPr>
              <w:jc w:val="right"/>
              <w:ind w:right="152"/>
              <w:spacing w:after="0"/>
              <w:rPr>
                <w:sz w:val="20"/>
                <w:szCs w:val="20"/>
                <w:color w:val="auto"/>
              </w:rPr>
            </w:pPr>
            <w:r>
              <w:rPr>
                <w:rFonts w:ascii="Arial" w:cs="Arial" w:eastAsia="Arial" w:hAnsi="Arial"/>
                <w:sz w:val="18"/>
                <w:szCs w:val="18"/>
                <w:b w:val="1"/>
                <w:bCs w:val="1"/>
                <w:color w:val="auto"/>
              </w:rPr>
              <w:t>235</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w:t>
            </w:r>
          </w:p>
        </w:tc>
        <w:tc>
          <w:tcPr>
            <w:tcW w:w="4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1,427</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1,662</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443"/>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22. Bank credit lines and loan facilities</w:t>
            </w:r>
          </w:p>
        </w:tc>
        <w:tc>
          <w:tcPr>
            <w:tcW w:w="4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Amounts available to the Group under negotiated facilities amounted to $150.0 million at 31 December 2012 (31 December 2011: $150.0 million). On 20 July 2011 the Company entered into a three year committed multi currency revolving credit facility for $150.0 million with Citibank, JP Morgan, Ulster Bank, Deutsche Bank and Barclays Bank. Each bank subject to the agreement has committed $30 million to the facility, with equal terms and conditions in place with all institutions. The facility bears interest at LIBOR plus a margin and includes certain composite guarantees, indemnities and pledges in favor of the banks. The full amount of this facility was available to the Group at 31 December 2012 and 31 December 2011.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23. Share capital</w:t>
            </w:r>
          </w:p>
        </w:tc>
        <w:tc>
          <w:tcPr>
            <w:tcW w:w="4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5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Group and Company</w:t>
            </w:r>
          </w:p>
        </w:tc>
        <w:tc>
          <w:tcPr>
            <w:tcW w:w="4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No. of</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Ordinary</w:t>
            </w:r>
          </w:p>
        </w:tc>
        <w:tc>
          <w:tcPr>
            <w:tcW w:w="0" w:type="dxa"/>
            <w:vAlign w:val="bottom"/>
          </w:tcPr>
          <w:p>
            <w:pPr>
              <w:spacing w:after="0"/>
              <w:rPr>
                <w:sz w:val="1"/>
                <w:szCs w:val="1"/>
                <w:color w:val="auto"/>
              </w:rPr>
            </w:pPr>
          </w:p>
        </w:tc>
      </w:tr>
      <w:tr>
        <w:trPr>
          <w:trHeight w:val="229"/>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Authorised share capital:</w:t>
            </w:r>
          </w:p>
        </w:tc>
        <w:tc>
          <w:tcPr>
            <w:tcW w:w="47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Ordinary shares of par value €0.06</w:t>
            </w:r>
          </w:p>
        </w:tc>
        <w:tc>
          <w:tcPr>
            <w:tcW w:w="47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72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472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Allotted, called up and fully paid</w:t>
            </w:r>
          </w:p>
        </w:tc>
        <w:tc>
          <w:tcPr>
            <w:tcW w:w="472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2"/>
        </w:trPr>
        <w:tc>
          <w:tcPr>
            <w:tcW w:w="5480" w:type="dxa"/>
            <w:vAlign w:val="bottom"/>
            <w:gridSpan w:val="2"/>
            <w:vMerge w:val="continue"/>
          </w:tcPr>
          <w:p>
            <w:pPr>
              <w:spacing w:after="0"/>
              <w:rPr>
                <w:sz w:val="18"/>
                <w:szCs w:val="18"/>
                <w:color w:val="auto"/>
              </w:rPr>
            </w:pPr>
          </w:p>
        </w:tc>
        <w:tc>
          <w:tcPr>
            <w:tcW w:w="4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80" w:type="dxa"/>
            <w:vAlign w:val="bottom"/>
            <w:gridSpan w:val="2"/>
          </w:tcPr>
          <w:p>
            <w:pPr>
              <w:spacing w:after="0"/>
              <w:rPr>
                <w:sz w:val="18"/>
                <w:szCs w:val="18"/>
                <w:color w:val="auto"/>
              </w:rPr>
            </w:pPr>
          </w:p>
        </w:tc>
        <w:tc>
          <w:tcPr>
            <w:tcW w:w="4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60,287,498 (31 December 2011: 60,135,603) ordinary shares of €0.06 each</w:t>
            </w:r>
          </w:p>
        </w:tc>
        <w:tc>
          <w:tcPr>
            <w:tcW w:w="4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5,067</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Issued, fully paid share capital</w:t>
            </w:r>
          </w:p>
        </w:tc>
        <w:tc>
          <w:tcPr>
            <w:tcW w:w="4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At beginning of year</w:t>
            </w:r>
          </w:p>
        </w:tc>
        <w:tc>
          <w:tcPr>
            <w:tcW w:w="4720" w:type="dxa"/>
            <w:vAlign w:val="bottom"/>
          </w:tcPr>
          <w:p>
            <w:pPr>
              <w:jc w:val="right"/>
              <w:ind w:right="152"/>
              <w:spacing w:after="0"/>
              <w:rPr>
                <w:sz w:val="20"/>
                <w:szCs w:val="20"/>
                <w:color w:val="auto"/>
              </w:rPr>
            </w:pPr>
            <w:r>
              <w:rPr>
                <w:rFonts w:ascii="Arial" w:cs="Arial" w:eastAsia="Arial" w:hAnsi="Arial"/>
                <w:sz w:val="18"/>
                <w:szCs w:val="18"/>
                <w:b w:val="1"/>
                <w:bCs w:val="1"/>
                <w:color w:val="auto"/>
              </w:rPr>
              <w:t>5,055</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Employee share options exercised</w:t>
            </w:r>
          </w:p>
        </w:tc>
        <w:tc>
          <w:tcPr>
            <w:tcW w:w="4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68</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Repurchase of ordinary shares</w:t>
            </w:r>
          </w:p>
        </w:tc>
        <w:tc>
          <w:tcPr>
            <w:tcW w:w="4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(56)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end of year</w:t>
            </w:r>
          </w:p>
        </w:tc>
        <w:tc>
          <w:tcPr>
            <w:tcW w:w="4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5,067</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720" w:type="dxa"/>
            <w:vAlign w:val="bottom"/>
          </w:tcPr>
          <w:p>
            <w:pPr>
              <w:jc w:val="right"/>
              <w:ind w:right="4312"/>
              <w:spacing w:after="0"/>
              <w:rPr>
                <w:sz w:val="20"/>
                <w:szCs w:val="20"/>
                <w:color w:val="auto"/>
              </w:rPr>
            </w:pPr>
            <w:r>
              <w:rPr>
                <w:rFonts w:ascii="Arial" w:cs="Arial" w:eastAsia="Arial" w:hAnsi="Arial"/>
                <w:sz w:val="18"/>
                <w:szCs w:val="18"/>
                <w:color w:val="auto"/>
              </w:rPr>
              <w:t>79</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c>
          <w:tcPr>
            <w:tcW w:w="47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 Share capital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204"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color w:val="auto"/>
        </w:rPr>
        <w:t>During the year ended 31 December 2012, 890,236 options were exercised by employees at an average exercise price of $14.62 per share for total proceeds of $13.0 million.</w:t>
      </w:r>
    </w:p>
    <w:p>
      <w:pPr>
        <w:spacing w:after="0" w:line="206"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During the year ended 31 December 2011, 430,340 options were exercised by employees at an average exercise price of $10.84 per share for total proceeds of $4.7 million. In addition, 3,768 ordinary shares were issued in respect of certain restricted stock unit’s previously awarded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programme</w:t>
      </w:r>
    </w:p>
    <w:p>
      <w:pPr>
        <w:spacing w:after="0" w:line="24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27 October 2011 the Company announced its intention to commence a share repurchase program of up to $50 million. On 22 November 2011 the Company entered into two separate share repurchase plans of up to $10 million each, covering the periods 23 November 2011 to 31 December 2011 and 1 January 2012 to 20 February 2012 respectively. On 21 February 2012 the Company entered into a further share repurchase plan of up to $20 million, covering the period 22 February 2012 to 22 April 2012. On 27 April 2012 the Company entered into a fourth share repurchase plan of up to $20 million, covering the period 27 April 2012 to 18 July 2012. On 30 July 2012 the Company entered into a fifth share repurchase plan of up to $10 million, covering the period 30 July 2012 to 26 October 2012.</w:t>
      </w:r>
    </w:p>
    <w:p>
      <w:pPr>
        <w:spacing w:after="0" w:line="22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Under the repurchase program, a broker purchased the Company’s shares from time to time on the open market or in privately negotiated transactions in accordance with agreed terms and limitations. The program was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w:t>
      </w:r>
    </w:p>
    <w:p>
      <w:pPr>
        <w:spacing w:after="0" w:line="22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During the year ended 31 December 2012 738,341 ordinary shares were repurchased by the Company for a total consideration of $15.6 million. During the year ended 31 December 2011 545,597 ordinary shares were repurchased by the Company for a total consideration of $9.0 million. As at 31 December 2012 1,283,938 ordinary shares have been repurchased by the Company for a total consideration of $24.6 million. All ordinary shares repurchased by the Company were cancelled, and the nominal value of these shares transferred to a capital redemption reserve fund as required under Irish Company Law.</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24. Capital and reserves</w:t>
            </w:r>
          </w:p>
        </w:tc>
        <w:tc>
          <w:tcPr>
            <w:tcW w:w="4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14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14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414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 reserve</w:t>
            </w:r>
          </w:p>
        </w:tc>
        <w:tc>
          <w:tcPr>
            <w:tcW w:w="41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45,179</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39,429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Capital redemption reserve</w:t>
            </w:r>
          </w:p>
        </w:tc>
        <w:tc>
          <w:tcPr>
            <w:tcW w:w="4140" w:type="dxa"/>
            <w:vAlign w:val="bottom"/>
          </w:tcPr>
          <w:p>
            <w:pPr>
              <w:jc w:val="right"/>
              <w:ind w:right="152"/>
              <w:spacing w:after="0"/>
              <w:rPr>
                <w:sz w:val="20"/>
                <w:szCs w:val="20"/>
                <w:color w:val="auto"/>
              </w:rPr>
            </w:pPr>
            <w:r>
              <w:rPr>
                <w:rFonts w:ascii="Arial" w:cs="Arial" w:eastAsia="Arial" w:hAnsi="Arial"/>
                <w:sz w:val="18"/>
                <w:szCs w:val="18"/>
                <w:b w:val="1"/>
                <w:bCs w:val="1"/>
                <w:color w:val="auto"/>
              </w:rPr>
              <w:t>100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41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7,988</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Foreign currency translation reserve</w:t>
            </w:r>
          </w:p>
        </w:tc>
        <w:tc>
          <w:tcPr>
            <w:tcW w:w="4140" w:type="dxa"/>
            <w:vAlign w:val="bottom"/>
          </w:tcPr>
          <w:p>
            <w:pPr>
              <w:jc w:val="right"/>
              <w:ind w:right="92"/>
              <w:spacing w:after="0"/>
              <w:rPr>
                <w:sz w:val="20"/>
                <w:szCs w:val="20"/>
                <w:color w:val="auto"/>
              </w:rPr>
            </w:pPr>
            <w:r>
              <w:rPr>
                <w:rFonts w:ascii="Arial" w:cs="Arial" w:eastAsia="Arial" w:hAnsi="Arial"/>
                <w:sz w:val="18"/>
                <w:szCs w:val="18"/>
                <w:b w:val="1"/>
                <w:bCs w:val="1"/>
                <w:color w:val="auto"/>
              </w:rPr>
              <w:t>(5,387)</w:t>
            </w:r>
          </w:p>
        </w:tc>
        <w:tc>
          <w:tcPr>
            <w:tcW w:w="1220" w:type="dxa"/>
            <w:vAlign w:val="bottom"/>
          </w:tcPr>
          <w:p>
            <w:pPr>
              <w:jc w:val="right"/>
              <w:spacing w:after="0"/>
              <w:rPr>
                <w:sz w:val="20"/>
                <w:szCs w:val="20"/>
                <w:color w:val="auto"/>
              </w:rPr>
            </w:pPr>
            <w:r>
              <w:rPr>
                <w:rFonts w:ascii="Arial" w:cs="Arial" w:eastAsia="Arial" w:hAnsi="Arial"/>
                <w:sz w:val="18"/>
                <w:szCs w:val="18"/>
                <w:color w:val="auto"/>
              </w:rPr>
              <w:t>(11,507)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Current asset investment – fair value reserve</w:t>
            </w:r>
          </w:p>
        </w:tc>
        <w:tc>
          <w:tcPr>
            <w:tcW w:w="41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239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Retained earnings</w:t>
            </w:r>
          </w:p>
        </w:tc>
        <w:tc>
          <w:tcPr>
            <w:tcW w:w="4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540,292</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491,937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588,411</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526,703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payment reserve</w:t>
      </w:r>
    </w:p>
    <w:p>
      <w:pPr>
        <w:spacing w:after="0" w:line="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share based payment reserve is used to account for share-based payments. The fair value of share based payments is expensed to the income statement over the period the related services are received, with a corresponding increase in equity. At 31 December 2012 the Group has recognised a cumulative charge for share based payments of $63.4 million net of deferred tax (2011: $53.2 million). The Group has also recognised a cumulative credit of $11.6 million (2011: $10.3 million) in reserves for the current and deferred tax effects of the tax benefits relating to the exercise of employee share options in excess of related cumulative compensation expense. The Group has reclassified a cumulative credit of $29.9 million (2011: $24.1 million) to retained earnings in respect of exercised and expired share based awards.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redemption reserve</w:t>
      </w:r>
    </w:p>
    <w:p>
      <w:pPr>
        <w:spacing w:after="0" w:line="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capital redemption reserve comprises the nominal value of shares repurchased and cancelled by the Group and transferred from share capital to the capital redemption reserve fund as required under Irish Company Law. During the year ended 31 December 2012, 738,341 (31 December 2011: 545,597) ordinary shares were repurchased and cancelled by the Group.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reserves</w:t>
      </w:r>
    </w:p>
    <w:p>
      <w:pPr>
        <w:spacing w:after="0" w:line="1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Group has recognised a non-distributable reserve of $1.9 million in accordance with agreements made between the Group and Enterprise Ireland, an Irish government agency. The requirement for these non-distributable reserves will expire between the period 2014 and 2017. In 2005 the Group also recognised a capital contribution of $6.0 million being the fair value of outstanding ordinary shares transferred to Mr Peter Gray, formerly Vice Chairman of the Board of Directors and formerly Chief Executive Officer, by founding Directors, Dr. John Climax and Dr. Ronan Lambe.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reserve</w:t>
      </w:r>
    </w:p>
    <w:p>
      <w:pPr>
        <w:spacing w:after="0" w:line="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currency reserve comprises all foreign exchange differences arising from the translation of the financial statements of foreign currency denominated operations of the Group since 1 June 2004, the date of transition to IFRS. As at 31 December 2012, this amounted to a cumulative loss of $12.4 million (2011:$7.9 million). In addition the Group has recognised a cumulative gain for the currency impact of long term funding amounting to $18.9 million as at 31 December 2012 (2011: $20.9 million). This is offset by a cumulative charge of $1.1 million (2011: $1.5 million) for the related tax on the currency impact on long term funding.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asset investments – fair value reserve</w:t>
      </w:r>
    </w:p>
    <w:p>
      <w:pPr>
        <w:spacing w:after="0" w:line="16" w:lineRule="exact"/>
        <w:rPr>
          <w:sz w:val="20"/>
          <w:szCs w:val="20"/>
          <w:color w:val="auto"/>
        </w:rPr>
      </w:pPr>
    </w:p>
    <w:p>
      <w:pPr>
        <w:jc w:val="both"/>
        <w:ind w:right="260"/>
        <w:spacing w:after="0" w:line="248" w:lineRule="auto"/>
        <w:rPr>
          <w:sz w:val="20"/>
          <w:szCs w:val="20"/>
          <w:color w:val="auto"/>
        </w:rPr>
      </w:pPr>
      <w:r>
        <w:rPr>
          <w:rFonts w:ascii="Arial" w:cs="Arial" w:eastAsia="Arial" w:hAnsi="Arial"/>
          <w:sz w:val="18"/>
          <w:szCs w:val="18"/>
          <w:color w:val="auto"/>
        </w:rPr>
        <w:t>The current asset investment – fair value reserve comprises unrealised fair value gains and losses on current asset investments held as available-for-sale. The Group has recognised a gain of $0.8 million during the year ended 31 December 2012 (2011: loss of $0.6 million). Unrealised gains and losses are released to the Consolidated Income Statement on disposal of the related asset.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24. Capital and reserves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Retained earnings</w:t>
      </w:r>
    </w:p>
    <w:p>
      <w:pPr>
        <w:spacing w:after="0" w:line="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the profit for the financial year the Group has also recognised the actuarial loss on the defined benefit pension scheme in this reserve. In 2012 the Group recognised an actuarial gain of $0.5 million on the defined benefit pension scheme (31 December 2011: actuarial loss of $4.4 million). The Group has also recognised a credit of $5.9 million (2011: $2.3 million) in respect of exercised and expired share based awards that have been transferred from the Option Reserve.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Financial Instruments</w:t>
      </w: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Board of Directors have overall responsibility for the establishment and oversight of the Group’s risk management framework. The Group is exposed to various financial risks in the normal course of its business. The principle financial risks to which it is exposed include credit risks related to the creditworthiness of its customers and counterparties with which it invests surplus cash funds, liquidity risk associated with the availability of sufficient capital resources, foreign currency risks, including both translation and transaction risk, and interest rate risk.</w:t>
      </w:r>
    </w:p>
    <w:p>
      <w:pPr>
        <w:spacing w:after="0" w:line="21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Group’s risk management policies are established to identify and analyse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standards and procedures, aims to develop a disciplined and constructive control environment in which all employees understand their roles and obligations. The Audit Committee of the Board oversees how management monitors compliance with the Group’s risk management policies and procedures and reviews the adequacy of the risk management framework in relation to the risks faced by the Group.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4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Group’s exposure to credit risk arises predominately in respect of the creditworthiness of its customers in relation to amounts due from them for the value of work performed and the creditworthiness of counterparties with which it invests surplus cash balances.</w:t>
      </w:r>
    </w:p>
    <w:p>
      <w:pPr>
        <w:spacing w:after="0" w:line="206"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Credit risk pertaining to customers is managed by ensuring strict credit procedures are in place, in particular through evaluation of all new customers and ongoing account monitoring. The Group earns revenues from contracts with its customers based upon certain activities and performance specifications. Contract terms may range from several weeks to several years depending on the nature of the work to be performed. Such contracts are generally either fixed price or units-based. In most cases, a small portion of the contract fee is paid at the time the study or trial is started. The balance of the contract fee is generally payable in instalments over the study or trial duration and may be based on the achievement of certain performance targets or "milestones" or, based on units delivered, or on a fixed monthly payment schedule. For instance, instalment payments may be based on patient enrolment or delivery of the database. Where customers request changes in the scope of a trial or in the services to be provided, a change order or amendment is issued which may result either in an increase or decrease in the contract value. The Group also contracts on a "fee-for-service" or "time and materials" basis.</w:t>
      </w:r>
    </w:p>
    <w:p>
      <w:pPr>
        <w:spacing w:after="0" w:line="182" w:lineRule="exact"/>
        <w:rPr>
          <w:sz w:val="20"/>
          <w:szCs w:val="20"/>
          <w:color w:val="auto"/>
        </w:rPr>
      </w:pPr>
    </w:p>
    <w:p>
      <w:pPr>
        <w:ind w:right="580"/>
        <w:spacing w:after="0" w:line="330" w:lineRule="auto"/>
        <w:rPr>
          <w:sz w:val="20"/>
          <w:szCs w:val="20"/>
          <w:color w:val="auto"/>
        </w:rPr>
      </w:pPr>
      <w:r>
        <w:rPr>
          <w:rFonts w:ascii="Arial" w:cs="Arial" w:eastAsia="Arial" w:hAnsi="Arial"/>
          <w:sz w:val="15"/>
          <w:szCs w:val="15"/>
          <w:color w:val="auto"/>
        </w:rPr>
        <w:t>During the course of the study, the Group will generally incur expenses which are fully reimbursable by customers. Reimbursable expenses are typically estimated and budgeted within the contract and invoiced on a monthly basis. Reimbursable expenses include payments to investigators, travel and accommodation costs and various other direct costs incurred in the course of the clinical trial which are fully reimbursable by the customer.</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25. Financial Instruments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Most of the Group’s contracts are terminable immediately by the customer with justifiable cause or with 30 to 90 days notice without cause. In the event of termination, the Group is usually entitled to all sums owed for work performed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customer's decision to de-emphasise a particular trial or inadequate patient enrollment or investigator recruitment.</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Group’s top five customers accounted for approximately 48% and 37% respectively of net revenue during the years ended 31 December 2012 and 31 December 2011. During the year ended 31 December 2012 18% of the Group’s net revenues were derived from its top customer with 12% of net revenues being derived from the Group’s second largest customer. With the exception of these two customers no customer contributed more than 10% of net revenues during the period. During the year ended 31 December 2011 13% of the Group’s net revenues were derived from its top customer. With the exception of this customer no customer contributed more than 10% of net revenues during this period.</w:t>
      </w:r>
    </w:p>
    <w:p>
      <w:pPr>
        <w:spacing w:after="0" w:line="204"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The maximum exposure of credit risk pertaining to customers is the carrying value of accounts receivable and unbilled revenue balances. The carrying value of accounts receivable and unbilled revenue balances, by geographic region, at 31 December 2012 was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200" w:type="dxa"/>
            <w:vAlign w:val="bottom"/>
            <w:gridSpan w:val="2"/>
          </w:tcPr>
          <w:p>
            <w:pPr>
              <w:jc w:val="right"/>
              <w:ind w:right="952"/>
              <w:spacing w:after="0"/>
              <w:rPr>
                <w:sz w:val="20"/>
                <w:szCs w:val="20"/>
                <w:color w:val="auto"/>
              </w:rPr>
            </w:pPr>
            <w:r>
              <w:rPr>
                <w:rFonts w:ascii="Arial" w:cs="Arial" w:eastAsia="Arial" w:hAnsi="Arial"/>
                <w:sz w:val="18"/>
                <w:szCs w:val="18"/>
                <w:b w:val="1"/>
                <w:bCs w:val="1"/>
                <w:color w:val="auto"/>
              </w:rPr>
              <w:t>Accounts Receivable</w:t>
            </w:r>
          </w:p>
        </w:tc>
        <w:tc>
          <w:tcPr>
            <w:tcW w:w="2960" w:type="dxa"/>
            <w:vAlign w:val="bottom"/>
            <w:gridSpan w:val="2"/>
          </w:tcPr>
          <w:p>
            <w:pPr>
              <w:jc w:val="right"/>
              <w:ind w:right="812"/>
              <w:spacing w:after="0"/>
              <w:rPr>
                <w:sz w:val="20"/>
                <w:szCs w:val="20"/>
                <w:color w:val="auto"/>
              </w:rPr>
            </w:pPr>
            <w:r>
              <w:rPr>
                <w:rFonts w:ascii="Arial" w:cs="Arial" w:eastAsia="Arial" w:hAnsi="Arial"/>
                <w:sz w:val="18"/>
                <w:szCs w:val="18"/>
                <w:b w:val="1"/>
                <w:bCs w:val="1"/>
                <w:color w:val="auto"/>
              </w:rPr>
              <w:t>Unbilled Revenue</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760" w:type="dxa"/>
            <w:vAlign w:val="bottom"/>
          </w:tcPr>
          <w:p>
            <w:pPr>
              <w:jc w:val="right"/>
              <w:ind w:right="412"/>
              <w:spacing w:after="0"/>
              <w:rPr>
                <w:sz w:val="20"/>
                <w:szCs w:val="20"/>
                <w:color w:val="auto"/>
              </w:rPr>
            </w:pPr>
            <w:r>
              <w:rPr>
                <w:rFonts w:ascii="Arial" w:cs="Arial" w:eastAsia="Arial" w:hAnsi="Arial"/>
                <w:sz w:val="18"/>
                <w:szCs w:val="18"/>
                <w:b w:val="1"/>
                <w:bCs w:val="1"/>
                <w:color w:val="auto"/>
              </w:rPr>
              <w:t>31 December</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31 December</w:t>
            </w:r>
          </w:p>
        </w:tc>
        <w:tc>
          <w:tcPr>
            <w:tcW w:w="1600" w:type="dxa"/>
            <w:vAlign w:val="bottom"/>
          </w:tcPr>
          <w:p>
            <w:pPr>
              <w:jc w:val="right"/>
              <w:ind w:right="212"/>
              <w:spacing w:after="0"/>
              <w:rPr>
                <w:sz w:val="20"/>
                <w:szCs w:val="20"/>
                <w:color w:val="auto"/>
              </w:rPr>
            </w:pPr>
            <w:r>
              <w:rPr>
                <w:rFonts w:ascii="Arial" w:cs="Arial" w:eastAsia="Arial" w:hAnsi="Arial"/>
                <w:sz w:val="18"/>
                <w:szCs w:val="18"/>
                <w:b w:val="1"/>
                <w:bCs w:val="1"/>
                <w:color w:val="auto"/>
              </w:rPr>
              <w:t>31 December</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760" w:type="dxa"/>
            <w:vAlign w:val="bottom"/>
          </w:tcPr>
          <w:p>
            <w:pPr>
              <w:jc w:val="right"/>
              <w:ind w:right="412"/>
              <w:spacing w:after="0"/>
              <w:rPr>
                <w:sz w:val="20"/>
                <w:szCs w:val="20"/>
                <w:color w:val="auto"/>
              </w:rPr>
            </w:pPr>
            <w:r>
              <w:rPr>
                <w:rFonts w:ascii="Arial" w:cs="Arial" w:eastAsia="Arial" w:hAnsi="Arial"/>
                <w:sz w:val="18"/>
                <w:szCs w:val="18"/>
                <w:b w:val="1"/>
                <w:bCs w:val="1"/>
                <w:color w:val="auto"/>
              </w:rPr>
              <w:t>2012</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2011</w:t>
            </w:r>
          </w:p>
        </w:tc>
        <w:tc>
          <w:tcPr>
            <w:tcW w:w="1600" w:type="dxa"/>
            <w:vAlign w:val="bottom"/>
          </w:tcPr>
          <w:p>
            <w:pPr>
              <w:jc w:val="right"/>
              <w:ind w:right="212"/>
              <w:spacing w:after="0"/>
              <w:rPr>
                <w:sz w:val="20"/>
                <w:szCs w:val="20"/>
                <w:color w:val="auto"/>
              </w:rPr>
            </w:pPr>
            <w:r>
              <w:rPr>
                <w:rFonts w:ascii="Arial" w:cs="Arial" w:eastAsia="Arial" w:hAnsi="Arial"/>
                <w:sz w:val="18"/>
                <w:szCs w:val="18"/>
                <w:b w:val="1"/>
                <w:bCs w:val="1"/>
                <w:color w:val="auto"/>
              </w:rPr>
              <w:t>2012</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760" w:type="dxa"/>
            <w:vAlign w:val="bottom"/>
          </w:tcPr>
          <w:p>
            <w:pPr>
              <w:jc w:val="right"/>
              <w:ind w:right="72"/>
              <w:spacing w:after="0"/>
              <w:rPr>
                <w:sz w:val="20"/>
                <w:szCs w:val="20"/>
                <w:color w:val="auto"/>
              </w:rPr>
            </w:pPr>
            <w:r>
              <w:rPr>
                <w:rFonts w:ascii="Arial" w:cs="Arial" w:eastAsia="Arial" w:hAnsi="Arial"/>
                <w:sz w:val="18"/>
                <w:szCs w:val="18"/>
                <w:b w:val="1"/>
                <w:bCs w:val="1"/>
                <w:color w:val="auto"/>
              </w:rPr>
              <w:t xml:space="preserve">$’000   </w:t>
            </w:r>
            <w:r>
              <w:rPr>
                <w:rFonts w:ascii="Arial" w:cs="Arial" w:eastAsia="Arial" w:hAnsi="Arial"/>
                <w:sz w:val="18"/>
                <w:szCs w:val="18"/>
                <w:color w:val="auto"/>
              </w:rPr>
              <w:t>$</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’000</w:t>
            </w:r>
          </w:p>
        </w:tc>
        <w:tc>
          <w:tcPr>
            <w:tcW w:w="1600" w:type="dxa"/>
            <w:vAlign w:val="bottom"/>
          </w:tcPr>
          <w:p>
            <w:pPr>
              <w:jc w:val="right"/>
              <w:ind w:right="212"/>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760" w:type="dxa"/>
            <w:vAlign w:val="bottom"/>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145,743</w:t>
            </w:r>
          </w:p>
        </w:tc>
        <w:tc>
          <w:tcPr>
            <w:tcW w:w="1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90,791</w:t>
            </w:r>
          </w:p>
        </w:tc>
        <w:tc>
          <w:tcPr>
            <w:tcW w:w="16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57,713</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64,427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United States</w:t>
            </w:r>
          </w:p>
        </w:tc>
        <w:tc>
          <w:tcPr>
            <w:tcW w:w="3760" w:type="dxa"/>
            <w:vAlign w:val="bottom"/>
          </w:tcPr>
          <w:p>
            <w:pPr>
              <w:jc w:val="right"/>
              <w:ind w:right="412"/>
              <w:spacing w:after="0"/>
              <w:rPr>
                <w:sz w:val="20"/>
                <w:szCs w:val="20"/>
                <w:color w:val="auto"/>
              </w:rPr>
            </w:pPr>
            <w:r>
              <w:rPr>
                <w:rFonts w:ascii="Arial" w:cs="Arial" w:eastAsia="Arial" w:hAnsi="Arial"/>
                <w:sz w:val="18"/>
                <w:szCs w:val="18"/>
                <w:b w:val="1"/>
                <w:bCs w:val="1"/>
                <w:color w:val="auto"/>
              </w:rPr>
              <w:t>136,061</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106,037</w:t>
            </w:r>
          </w:p>
        </w:tc>
        <w:tc>
          <w:tcPr>
            <w:tcW w:w="1600" w:type="dxa"/>
            <w:vAlign w:val="bottom"/>
          </w:tcPr>
          <w:p>
            <w:pPr>
              <w:jc w:val="right"/>
              <w:ind w:right="212"/>
              <w:spacing w:after="0"/>
              <w:rPr>
                <w:sz w:val="20"/>
                <w:szCs w:val="20"/>
                <w:color w:val="auto"/>
              </w:rPr>
            </w:pPr>
            <w:r>
              <w:rPr>
                <w:rFonts w:ascii="Arial" w:cs="Arial" w:eastAsia="Arial" w:hAnsi="Arial"/>
                <w:sz w:val="18"/>
                <w:szCs w:val="18"/>
                <w:b w:val="1"/>
                <w:bCs w:val="1"/>
                <w:color w:val="auto"/>
              </w:rPr>
              <w:t>48,535</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57,631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7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3,615</w:t>
            </w:r>
          </w:p>
        </w:tc>
        <w:tc>
          <w:tcPr>
            <w:tcW w:w="1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4,510</w:t>
            </w:r>
          </w:p>
        </w:tc>
        <w:tc>
          <w:tcPr>
            <w:tcW w:w="16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6,235</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4,792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7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285,419</w:t>
            </w:r>
          </w:p>
        </w:tc>
        <w:tc>
          <w:tcPr>
            <w:tcW w:w="1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201,338</w:t>
            </w:r>
          </w:p>
        </w:tc>
        <w:tc>
          <w:tcPr>
            <w:tcW w:w="16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112,483</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126,850</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The Group’s exposure to credit risk also arises with counterparties in respect of surplus cash balances invested. The Group’s treasury function actively manages available cash resources and invests significant cash balances in various financial institutions to try to ensure optimum returns for surplus cash balances. These balances are classified as cash and cash equivalents or current asset investments depending on the maturity of the related investment. Credit risk in relation to these balances is managed through ongoing monitoring of the composition of the balances and ensuring that funds are invested in accordance with strict risk management policies and controls as specified by the Group’s Board of Directors. Surplus cash balances are invested in minimum “A” rated fixed and floating rate securities. For short term investments, the ratings required for each class of investment are as follows: cash (A-), bank deposit (A-), money market funds</w:t>
      </w:r>
    </w:p>
    <w:p>
      <w:pPr>
        <w:spacing w:after="0" w:line="3" w:lineRule="exact"/>
        <w:rPr>
          <w:sz w:val="20"/>
          <w:szCs w:val="20"/>
          <w:color w:val="auto"/>
        </w:rPr>
      </w:pPr>
    </w:p>
    <w:p>
      <w:pPr>
        <w:ind w:right="40" w:firstLine="6"/>
        <w:spacing w:after="0" w:line="248" w:lineRule="auto"/>
        <w:tabs>
          <w:tab w:leader="none" w:pos="5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and liquidity funds (AAA). For long term investments, the ratings required for counterparty exposure is AA- (Standard &amp; Poors &amp; Fitch). Permitted long term investment instruments are Government securities, bank deposits, commercial paper, medium term notes, floating rate notes, fixed term notes, asset swaps with A rated security, AAA rated liquidity funds with stable NAV and certain interest rate options.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25. Financial Instruments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p>
        </w:tc>
        <w:tc>
          <w:tcPr>
            <w:tcW w:w="2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7180" w:type="dxa"/>
            <w:vAlign w:val="bottom"/>
            <w:gridSpan w:val="2"/>
          </w:tcPr>
          <w:p>
            <w:pPr>
              <w:spacing w:after="0"/>
              <w:rPr>
                <w:sz w:val="20"/>
                <w:szCs w:val="20"/>
                <w:color w:val="auto"/>
              </w:rPr>
            </w:pPr>
            <w:r>
              <w:rPr>
                <w:rFonts w:ascii="Arial" w:cs="Arial" w:eastAsia="Arial" w:hAnsi="Arial"/>
                <w:sz w:val="18"/>
                <w:szCs w:val="18"/>
                <w:i w:val="1"/>
                <w:iCs w:val="1"/>
                <w:color w:val="auto"/>
              </w:rPr>
              <w:t>Liquid and Capital Resources</w:t>
            </w:r>
          </w:p>
        </w:tc>
        <w:tc>
          <w:tcPr>
            <w:tcW w:w="2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180" w:type="dxa"/>
            <w:vAlign w:val="bottom"/>
            <w:gridSpan w:val="2"/>
          </w:tcPr>
          <w:p>
            <w:pPr>
              <w:spacing w:after="0"/>
              <w:rPr>
                <w:sz w:val="20"/>
                <w:szCs w:val="20"/>
                <w:color w:val="auto"/>
              </w:rPr>
            </w:pPr>
            <w:r>
              <w:rPr>
                <w:rFonts w:ascii="Arial" w:cs="Arial" w:eastAsia="Arial" w:hAnsi="Arial"/>
                <w:sz w:val="18"/>
                <w:szCs w:val="18"/>
                <w:color w:val="auto"/>
              </w:rPr>
              <w:t>The Group’s liquid and capital resources at 31 December 2012 were as follows:</w:t>
            </w:r>
          </w:p>
        </w:tc>
        <w:tc>
          <w:tcPr>
            <w:tcW w:w="2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860" w:type="dxa"/>
            <w:vAlign w:val="bottom"/>
          </w:tcPr>
          <w:p>
            <w:pPr>
              <w:jc w:val="right"/>
              <w:ind w:right="232"/>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860" w:type="dxa"/>
            <w:vAlign w:val="bottom"/>
          </w:tcPr>
          <w:p>
            <w:pPr>
              <w:jc w:val="right"/>
              <w:ind w:right="232"/>
              <w:spacing w:after="0"/>
              <w:rPr>
                <w:sz w:val="20"/>
                <w:szCs w:val="20"/>
                <w:color w:val="auto"/>
              </w:rPr>
            </w:pPr>
            <w:r>
              <w:rPr>
                <w:rFonts w:ascii="Arial" w:cs="Arial" w:eastAsia="Arial" w:hAnsi="Arial"/>
                <w:sz w:val="18"/>
                <w:szCs w:val="18"/>
                <w:b w:val="1"/>
                <w:bCs w:val="1"/>
                <w:color w:val="auto"/>
              </w:rPr>
              <w:t>2012</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2860" w:type="dxa"/>
            <w:vAlign w:val="bottom"/>
          </w:tcPr>
          <w:p>
            <w:pPr>
              <w:jc w:val="right"/>
              <w:ind w:right="232"/>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Current asset investments (note 17)</w:t>
            </w:r>
          </w:p>
        </w:tc>
        <w:tc>
          <w:tcPr>
            <w:tcW w:w="286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76,183</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54,940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(note 18)</w:t>
            </w:r>
          </w:p>
        </w:tc>
        <w:tc>
          <w:tcPr>
            <w:tcW w:w="28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114,047</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119,237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liquid resources</w:t>
            </w:r>
          </w:p>
        </w:tc>
        <w:tc>
          <w:tcPr>
            <w:tcW w:w="28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190,230</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174,177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716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Shareholders’ equity</w:t>
            </w:r>
          </w:p>
        </w:tc>
        <w:tc>
          <w:tcPr>
            <w:tcW w:w="28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766,441</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691,848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principal operating cash requirements of the Group include payment of salaries, office rents, travel expenditures and payments to investigators. Other cash requirements include capital expenditures for facilities and information system enhancements and cash required to fund acquisitions and other growth opportunities. The CRO industry is generally not capital intensive. The Group primarily finances its operations and growth through cash flows from operations, together with amounts drawn under negotiated facilities as required.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Group’s primary objectives in managing its liquid and capital resources are as follows:</w:t>
      </w:r>
    </w:p>
    <w:p>
      <w:pPr>
        <w:spacing w:after="0" w:line="16" w:lineRule="exact"/>
        <w:rPr>
          <w:sz w:val="20"/>
          <w:szCs w:val="20"/>
          <w:color w:val="auto"/>
        </w:rPr>
      </w:pPr>
    </w:p>
    <w:p>
      <w:pPr>
        <w:ind w:left="980" w:hanging="338"/>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maintain adequate resources to fund its continued operations,</w:t>
      </w:r>
    </w:p>
    <w:p>
      <w:pPr>
        <w:spacing w:after="0" w:line="5" w:lineRule="exact"/>
        <w:rPr>
          <w:rFonts w:ascii="Arial" w:cs="Arial" w:eastAsia="Arial" w:hAnsi="Arial"/>
          <w:sz w:val="18"/>
          <w:szCs w:val="18"/>
          <w:color w:val="auto"/>
        </w:rPr>
      </w:pPr>
    </w:p>
    <w:p>
      <w:pPr>
        <w:ind w:left="980" w:hanging="338"/>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ensure availability of sufficient resources to sustain future development and growth of the business,</w:t>
      </w:r>
    </w:p>
    <w:p>
      <w:pPr>
        <w:spacing w:after="0" w:line="5" w:lineRule="exact"/>
        <w:rPr>
          <w:rFonts w:ascii="Arial" w:cs="Arial" w:eastAsia="Arial" w:hAnsi="Arial"/>
          <w:sz w:val="18"/>
          <w:szCs w:val="18"/>
          <w:color w:val="auto"/>
        </w:rPr>
      </w:pPr>
    </w:p>
    <w:p>
      <w:pPr>
        <w:ind w:left="980" w:hanging="338"/>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maintain sufficient resources to mitigate risks and unforeseen events which may arise.</w:t>
      </w:r>
    </w:p>
    <w:p>
      <w:pPr>
        <w:spacing w:after="0" w:line="232"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 xml:space="preserve">The Group manages risks associated with liquid and capital resources through ongoing monitoring of actual and forecast cash balances and by reviewing the existing and future cash requirements of the business. It ensures that sufficient headroom is available under the Group’s existing negotiated facilities and negotiates additional facilities as required. Details of the Group’s negotiated facility is set out in note 22 </w:t>
      </w:r>
      <w:r>
        <w:rPr>
          <w:rFonts w:ascii="Arial" w:cs="Arial" w:eastAsia="Arial" w:hAnsi="Arial"/>
          <w:sz w:val="15"/>
          <w:szCs w:val="15"/>
          <w:i w:val="1"/>
          <w:iCs w:val="1"/>
          <w:color w:val="auto"/>
        </w:rPr>
        <w:t>Bank Credit Lines and Loan Facilities.</w:t>
      </w:r>
      <w:r>
        <w:rPr>
          <w:rFonts w:ascii="Arial" w:cs="Arial" w:eastAsia="Arial" w:hAnsi="Arial"/>
          <w:sz w:val="15"/>
          <w:szCs w:val="15"/>
          <w:color w:val="auto"/>
        </w:rPr>
        <w:t xml:space="preserve"> There were no funds drawn under this facility at 31 December 2012. The Group may raise additional finance through the issuance of ordinary shares or debt as required.</w:t>
      </w:r>
    </w:p>
    <w:p>
      <w:pPr>
        <w:spacing w:after="0" w:line="17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following table sets out details of the maturity of the Group’s financial liabilities into the relevant maturity groupings based on the remaining period from the financial year end date to contractual maturity date: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00" w:type="dxa"/>
            <w:vAlign w:val="bottom"/>
            <w:gridSpan w:val="2"/>
          </w:tcPr>
          <w:p>
            <w:pPr>
              <w:spacing w:after="0"/>
              <w:rPr>
                <w:sz w:val="20"/>
                <w:szCs w:val="20"/>
                <w:color w:val="auto"/>
              </w:rPr>
            </w:pPr>
            <w:r>
              <w:rPr>
                <w:rFonts w:ascii="Arial" w:cs="Arial" w:eastAsia="Arial" w:hAnsi="Arial"/>
                <w:sz w:val="18"/>
                <w:szCs w:val="18"/>
                <w:i w:val="1"/>
                <w:iCs w:val="1"/>
                <w:color w:val="auto"/>
                <w:w w:val="90"/>
              </w:rPr>
              <w:t>Year ended 31 December 2012</w:t>
            </w:r>
          </w:p>
        </w:tc>
        <w:tc>
          <w:tcPr>
            <w:tcW w:w="1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b w:val="1"/>
                <w:bCs w:val="1"/>
                <w:color w:val="auto"/>
              </w:rPr>
              <w:t>Carrying</w:t>
            </w:r>
          </w:p>
        </w:tc>
        <w:tc>
          <w:tcPr>
            <w:tcW w:w="1500" w:type="dxa"/>
            <w:vAlign w:val="bottom"/>
          </w:tcPr>
          <w:p>
            <w:pPr>
              <w:jc w:val="right"/>
              <w:ind w:right="292"/>
              <w:spacing w:after="0"/>
              <w:rPr>
                <w:sz w:val="20"/>
                <w:szCs w:val="20"/>
                <w:color w:val="auto"/>
              </w:rPr>
            </w:pPr>
            <w:r>
              <w:rPr>
                <w:rFonts w:ascii="Arial" w:cs="Arial" w:eastAsia="Arial" w:hAnsi="Arial"/>
                <w:sz w:val="18"/>
                <w:szCs w:val="18"/>
                <w:b w:val="1"/>
                <w:bCs w:val="1"/>
                <w:color w:val="auto"/>
              </w:rPr>
              <w:t>Contractual</w:t>
            </w:r>
          </w:p>
        </w:tc>
        <w:tc>
          <w:tcPr>
            <w:tcW w:w="1460" w:type="dxa"/>
            <w:vAlign w:val="bottom"/>
          </w:tcPr>
          <w:p>
            <w:pPr>
              <w:jc w:val="right"/>
              <w:ind w:right="352"/>
              <w:spacing w:after="0"/>
              <w:rPr>
                <w:sz w:val="20"/>
                <w:szCs w:val="20"/>
                <w:color w:val="auto"/>
              </w:rPr>
            </w:pPr>
            <w:r>
              <w:rPr>
                <w:rFonts w:ascii="Arial" w:cs="Arial" w:eastAsia="Arial" w:hAnsi="Arial"/>
                <w:sz w:val="18"/>
                <w:szCs w:val="18"/>
                <w:b w:val="1"/>
                <w:bCs w:val="1"/>
                <w:color w:val="auto"/>
              </w:rPr>
              <w:t>6 months</w:t>
            </w:r>
          </w:p>
        </w:tc>
        <w:tc>
          <w:tcPr>
            <w:tcW w:w="1300" w:type="dxa"/>
            <w:vAlign w:val="bottom"/>
          </w:tcPr>
          <w:p>
            <w:pPr>
              <w:jc w:val="right"/>
              <w:ind w:right="312"/>
              <w:spacing w:after="0"/>
              <w:rPr>
                <w:sz w:val="20"/>
                <w:szCs w:val="20"/>
                <w:color w:val="auto"/>
              </w:rPr>
            </w:pPr>
            <w:r>
              <w:rPr>
                <w:rFonts w:ascii="Arial" w:cs="Arial" w:eastAsia="Arial" w:hAnsi="Arial"/>
                <w:sz w:val="18"/>
                <w:szCs w:val="18"/>
                <w:b w:val="1"/>
                <w:bCs w:val="1"/>
                <w:color w:val="auto"/>
              </w:rPr>
              <w:t>6-12</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b w:val="1"/>
                <w:bCs w:val="1"/>
                <w:color w:val="auto"/>
              </w:rPr>
              <w:t>Amount</w:t>
            </w:r>
          </w:p>
        </w:tc>
        <w:tc>
          <w:tcPr>
            <w:tcW w:w="1500" w:type="dxa"/>
            <w:vAlign w:val="bottom"/>
          </w:tcPr>
          <w:p>
            <w:pPr>
              <w:jc w:val="right"/>
              <w:ind w:right="292"/>
              <w:spacing w:after="0"/>
              <w:rPr>
                <w:sz w:val="20"/>
                <w:szCs w:val="20"/>
                <w:color w:val="auto"/>
              </w:rPr>
            </w:pPr>
            <w:r>
              <w:rPr>
                <w:rFonts w:ascii="Arial" w:cs="Arial" w:eastAsia="Arial" w:hAnsi="Arial"/>
                <w:sz w:val="18"/>
                <w:szCs w:val="18"/>
                <w:b w:val="1"/>
                <w:bCs w:val="1"/>
                <w:color w:val="auto"/>
              </w:rPr>
              <w:t>Cashflows</w:t>
            </w:r>
          </w:p>
        </w:tc>
        <w:tc>
          <w:tcPr>
            <w:tcW w:w="1460" w:type="dxa"/>
            <w:vAlign w:val="bottom"/>
          </w:tcPr>
          <w:p>
            <w:pPr>
              <w:jc w:val="right"/>
              <w:ind w:right="352"/>
              <w:spacing w:after="0"/>
              <w:rPr>
                <w:sz w:val="20"/>
                <w:szCs w:val="20"/>
                <w:color w:val="auto"/>
              </w:rPr>
            </w:pPr>
            <w:r>
              <w:rPr>
                <w:rFonts w:ascii="Arial" w:cs="Arial" w:eastAsia="Arial" w:hAnsi="Arial"/>
                <w:sz w:val="18"/>
                <w:szCs w:val="18"/>
                <w:b w:val="1"/>
                <w:bCs w:val="1"/>
                <w:color w:val="auto"/>
              </w:rPr>
              <w:t>or less</w:t>
            </w:r>
          </w:p>
        </w:tc>
        <w:tc>
          <w:tcPr>
            <w:tcW w:w="1300" w:type="dxa"/>
            <w:vAlign w:val="bottom"/>
          </w:tcPr>
          <w:p>
            <w:pPr>
              <w:jc w:val="right"/>
              <w:ind w:right="272"/>
              <w:spacing w:after="0"/>
              <w:rPr>
                <w:sz w:val="20"/>
                <w:szCs w:val="20"/>
                <w:color w:val="auto"/>
              </w:rPr>
            </w:pPr>
            <w:r>
              <w:rPr>
                <w:rFonts w:ascii="Arial" w:cs="Arial" w:eastAsia="Arial" w:hAnsi="Arial"/>
                <w:sz w:val="18"/>
                <w:szCs w:val="18"/>
                <w:b w:val="1"/>
                <w:bCs w:val="1"/>
                <w:color w:val="auto"/>
              </w:rPr>
              <w:t>months</w:t>
            </w:r>
          </w:p>
        </w:tc>
        <w:tc>
          <w:tcPr>
            <w:tcW w:w="1360" w:type="dxa"/>
            <w:vAlign w:val="bottom"/>
          </w:tcPr>
          <w:p>
            <w:pPr>
              <w:jc w:val="right"/>
              <w:ind w:right="272"/>
              <w:spacing w:after="0"/>
              <w:rPr>
                <w:sz w:val="20"/>
                <w:szCs w:val="20"/>
                <w:color w:val="auto"/>
              </w:rPr>
            </w:pPr>
            <w:r>
              <w:rPr>
                <w:rFonts w:ascii="Arial" w:cs="Arial" w:eastAsia="Arial" w:hAnsi="Arial"/>
                <w:sz w:val="18"/>
                <w:szCs w:val="18"/>
                <w:b w:val="1"/>
                <w:bCs w:val="1"/>
                <w:color w:val="auto"/>
              </w:rPr>
              <w:t>1-2 years</w:t>
            </w:r>
          </w:p>
        </w:tc>
        <w:tc>
          <w:tcPr>
            <w:tcW w:w="1280" w:type="dxa"/>
            <w:vAlign w:val="bottom"/>
          </w:tcPr>
          <w:p>
            <w:pPr>
              <w:jc w:val="right"/>
              <w:ind w:right="212"/>
              <w:spacing w:after="0"/>
              <w:rPr>
                <w:sz w:val="20"/>
                <w:szCs w:val="20"/>
                <w:color w:val="auto"/>
              </w:rPr>
            </w:pPr>
            <w:r>
              <w:rPr>
                <w:rFonts w:ascii="Arial" w:cs="Arial" w:eastAsia="Arial" w:hAnsi="Arial"/>
                <w:sz w:val="18"/>
                <w:szCs w:val="18"/>
                <w:b w:val="1"/>
                <w:bCs w:val="1"/>
                <w:color w:val="auto"/>
              </w:rPr>
              <w:t>2-5 years</w:t>
            </w:r>
          </w:p>
        </w:tc>
        <w:tc>
          <w:tcPr>
            <w:tcW w:w="1140" w:type="dxa"/>
            <w:vAlign w:val="bottom"/>
          </w:tcPr>
          <w:p>
            <w:pPr>
              <w:jc w:val="right"/>
              <w:ind w:right="12"/>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b w:val="1"/>
                <w:bCs w:val="1"/>
                <w:color w:val="auto"/>
              </w:rPr>
              <w:t>$’000</w:t>
            </w:r>
          </w:p>
        </w:tc>
        <w:tc>
          <w:tcPr>
            <w:tcW w:w="1500" w:type="dxa"/>
            <w:vAlign w:val="bottom"/>
          </w:tcPr>
          <w:p>
            <w:pPr>
              <w:jc w:val="right"/>
              <w:ind w:right="292"/>
              <w:spacing w:after="0"/>
              <w:rPr>
                <w:sz w:val="20"/>
                <w:szCs w:val="20"/>
                <w:color w:val="auto"/>
              </w:rPr>
            </w:pPr>
            <w:r>
              <w:rPr>
                <w:rFonts w:ascii="Arial" w:cs="Arial" w:eastAsia="Arial" w:hAnsi="Arial"/>
                <w:sz w:val="18"/>
                <w:szCs w:val="18"/>
                <w:b w:val="1"/>
                <w:bCs w:val="1"/>
                <w:color w:val="auto"/>
              </w:rPr>
              <w:t>$’000</w:t>
            </w:r>
          </w:p>
        </w:tc>
        <w:tc>
          <w:tcPr>
            <w:tcW w:w="1460" w:type="dxa"/>
            <w:vAlign w:val="bottom"/>
          </w:tcPr>
          <w:p>
            <w:pPr>
              <w:jc w:val="right"/>
              <w:ind w:right="352"/>
              <w:spacing w:after="0"/>
              <w:rPr>
                <w:sz w:val="20"/>
                <w:szCs w:val="20"/>
                <w:color w:val="auto"/>
              </w:rPr>
            </w:pPr>
            <w:r>
              <w:rPr>
                <w:rFonts w:ascii="Arial" w:cs="Arial" w:eastAsia="Arial" w:hAnsi="Arial"/>
                <w:sz w:val="18"/>
                <w:szCs w:val="18"/>
                <w:b w:val="1"/>
                <w:bCs w:val="1"/>
                <w:color w:val="auto"/>
              </w:rPr>
              <w:t>$’000</w:t>
            </w:r>
          </w:p>
        </w:tc>
        <w:tc>
          <w:tcPr>
            <w:tcW w:w="1300" w:type="dxa"/>
            <w:vAlign w:val="bottom"/>
          </w:tcPr>
          <w:p>
            <w:pPr>
              <w:jc w:val="right"/>
              <w:ind w:right="272"/>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272"/>
              <w:spacing w:after="0"/>
              <w:rPr>
                <w:sz w:val="20"/>
                <w:szCs w:val="20"/>
                <w:color w:val="auto"/>
              </w:rPr>
            </w:pPr>
            <w:r>
              <w:rPr>
                <w:rFonts w:ascii="Arial" w:cs="Arial" w:eastAsia="Arial" w:hAnsi="Arial"/>
                <w:sz w:val="18"/>
                <w:szCs w:val="18"/>
                <w:b w:val="1"/>
                <w:bCs w:val="1"/>
                <w:color w:val="auto"/>
              </w:rPr>
              <w:t>$’000</w:t>
            </w:r>
          </w:p>
        </w:tc>
        <w:tc>
          <w:tcPr>
            <w:tcW w:w="1280" w:type="dxa"/>
            <w:vAlign w:val="bottom"/>
          </w:tcPr>
          <w:p>
            <w:pPr>
              <w:jc w:val="right"/>
              <w:ind w:right="212"/>
              <w:spacing w:after="0"/>
              <w:rPr>
                <w:sz w:val="20"/>
                <w:szCs w:val="20"/>
                <w:color w:val="auto"/>
              </w:rPr>
            </w:pPr>
            <w:r>
              <w:rPr>
                <w:rFonts w:ascii="Arial" w:cs="Arial" w:eastAsia="Arial" w:hAnsi="Arial"/>
                <w:sz w:val="18"/>
                <w:szCs w:val="18"/>
                <w:b w:val="1"/>
                <w:bCs w:val="1"/>
                <w:color w:val="auto"/>
              </w:rPr>
              <w:t>$’000</w:t>
            </w:r>
          </w:p>
        </w:tc>
        <w:tc>
          <w:tcPr>
            <w:tcW w:w="114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Non-current other</w:t>
            </w:r>
          </w:p>
        </w:tc>
        <w:tc>
          <w:tcPr>
            <w:tcW w:w="10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(9,591)</w:t>
            </w:r>
          </w:p>
        </w:tc>
        <w:tc>
          <w:tcPr>
            <w:tcW w:w="15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(9,591)</w:t>
            </w:r>
          </w:p>
        </w:tc>
        <w:tc>
          <w:tcPr>
            <w:tcW w:w="14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(6,131)</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(3,460)</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Accounts payable</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(8,149)</w:t>
            </w:r>
          </w:p>
        </w:tc>
        <w:tc>
          <w:tcPr>
            <w:tcW w:w="1500" w:type="dxa"/>
            <w:vAlign w:val="bottom"/>
          </w:tcPr>
          <w:p>
            <w:pPr>
              <w:jc w:val="right"/>
              <w:ind w:right="232"/>
              <w:spacing w:after="0"/>
              <w:rPr>
                <w:sz w:val="20"/>
                <w:szCs w:val="20"/>
                <w:color w:val="auto"/>
              </w:rPr>
            </w:pPr>
            <w:r>
              <w:rPr>
                <w:rFonts w:ascii="Arial" w:cs="Arial" w:eastAsia="Arial" w:hAnsi="Arial"/>
                <w:sz w:val="18"/>
                <w:szCs w:val="18"/>
                <w:color w:val="auto"/>
              </w:rPr>
              <w:t>(8,149)</w:t>
            </w:r>
          </w:p>
        </w:tc>
        <w:tc>
          <w:tcPr>
            <w:tcW w:w="1460" w:type="dxa"/>
            <w:vAlign w:val="bottom"/>
          </w:tcPr>
          <w:p>
            <w:pPr>
              <w:jc w:val="right"/>
              <w:ind w:right="292"/>
              <w:spacing w:after="0"/>
              <w:rPr>
                <w:sz w:val="20"/>
                <w:szCs w:val="20"/>
                <w:color w:val="auto"/>
              </w:rPr>
            </w:pPr>
            <w:r>
              <w:rPr>
                <w:rFonts w:ascii="Arial" w:cs="Arial" w:eastAsia="Arial" w:hAnsi="Arial"/>
                <w:sz w:val="18"/>
                <w:szCs w:val="18"/>
                <w:color w:val="auto"/>
              </w:rPr>
              <w:t>(8,149)</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Accrued and other</w:t>
            </w:r>
          </w:p>
        </w:tc>
        <w:tc>
          <w:tcPr>
            <w:tcW w:w="10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(133,670)</w:t>
            </w:r>
          </w:p>
        </w:tc>
        <w:tc>
          <w:tcPr>
            <w:tcW w:w="15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(133,670)</w:t>
            </w:r>
          </w:p>
        </w:tc>
        <w:tc>
          <w:tcPr>
            <w:tcW w:w="14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(133,670)</w:t>
            </w:r>
          </w:p>
        </w:tc>
        <w:tc>
          <w:tcPr>
            <w:tcW w:w="13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Provisions</w:t>
            </w: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(47,190)</w:t>
            </w:r>
          </w:p>
        </w:tc>
        <w:tc>
          <w:tcPr>
            <w:tcW w:w="15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(47,432)</w:t>
            </w:r>
          </w:p>
        </w:tc>
        <w:tc>
          <w:tcPr>
            <w:tcW w:w="14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(24,532)</w:t>
            </w:r>
          </w:p>
        </w:tc>
        <w:tc>
          <w:tcPr>
            <w:tcW w:w="13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(22,900)</w:t>
            </w: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(198,600)</w:t>
            </w:r>
          </w:p>
        </w:tc>
        <w:tc>
          <w:tcPr>
            <w:tcW w:w="15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(198,842)</w:t>
            </w:r>
          </w:p>
        </w:tc>
        <w:tc>
          <w:tcPr>
            <w:tcW w:w="14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(166,351)</w:t>
            </w:r>
          </w:p>
        </w:tc>
        <w:tc>
          <w:tcPr>
            <w:tcW w:w="13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(22,900)</w:t>
            </w: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(6,131)</w:t>
            </w:r>
          </w:p>
        </w:tc>
        <w:tc>
          <w:tcPr>
            <w:tcW w:w="12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(3,460)</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jc w:val="right"/>
              <w:ind w:right="452"/>
              <w:spacing w:after="0"/>
              <w:rPr>
                <w:sz w:val="20"/>
                <w:szCs w:val="20"/>
                <w:color w:val="auto"/>
              </w:rPr>
            </w:pPr>
            <w:r>
              <w:rPr>
                <w:rFonts w:ascii="Arial" w:cs="Arial" w:eastAsia="Arial" w:hAnsi="Arial"/>
                <w:sz w:val="18"/>
                <w:szCs w:val="18"/>
                <w:color w:val="auto"/>
              </w:rPr>
              <w:t>84</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25. Financial Instruments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p>
        </w:tc>
        <w:tc>
          <w:tcPr>
            <w:tcW w:w="15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280" w:type="dxa"/>
            <w:vAlign w:val="bottom"/>
            <w:gridSpan w:val="2"/>
          </w:tcPr>
          <w:p>
            <w:pPr>
              <w:spacing w:after="0"/>
              <w:rPr>
                <w:sz w:val="20"/>
                <w:szCs w:val="20"/>
                <w:color w:val="auto"/>
              </w:rPr>
            </w:pPr>
            <w:r>
              <w:rPr>
                <w:rFonts w:ascii="Arial" w:cs="Arial" w:eastAsia="Arial" w:hAnsi="Arial"/>
                <w:sz w:val="18"/>
                <w:szCs w:val="18"/>
                <w:i w:val="1"/>
                <w:iCs w:val="1"/>
                <w:color w:val="auto"/>
                <w:w w:val="89"/>
              </w:rPr>
              <w:t>Year ended 31 December 2011</w:t>
            </w:r>
          </w:p>
        </w:tc>
        <w:tc>
          <w:tcPr>
            <w:tcW w:w="110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Carrying</w:t>
            </w:r>
          </w:p>
        </w:tc>
        <w:tc>
          <w:tcPr>
            <w:tcW w:w="1500" w:type="dxa"/>
            <w:vAlign w:val="bottom"/>
            <w:vMerge w:val="restart"/>
          </w:tcPr>
          <w:p>
            <w:pPr>
              <w:jc w:val="right"/>
              <w:ind w:right="292"/>
              <w:spacing w:after="0"/>
              <w:rPr>
                <w:sz w:val="20"/>
                <w:szCs w:val="20"/>
                <w:color w:val="auto"/>
              </w:rPr>
            </w:pPr>
            <w:r>
              <w:rPr>
                <w:rFonts w:ascii="Arial" w:cs="Arial" w:eastAsia="Arial" w:hAnsi="Arial"/>
                <w:sz w:val="18"/>
                <w:szCs w:val="18"/>
                <w:b w:val="1"/>
                <w:bCs w:val="1"/>
                <w:color w:val="auto"/>
              </w:rPr>
              <w:t>Contractual</w:t>
            </w:r>
          </w:p>
        </w:tc>
        <w:tc>
          <w:tcPr>
            <w:tcW w:w="1460" w:type="dxa"/>
            <w:vAlign w:val="bottom"/>
            <w:vMerge w:val="restart"/>
          </w:tcPr>
          <w:p>
            <w:pPr>
              <w:jc w:val="right"/>
              <w:ind w:right="352"/>
              <w:spacing w:after="0"/>
              <w:rPr>
                <w:sz w:val="20"/>
                <w:szCs w:val="20"/>
                <w:color w:val="auto"/>
              </w:rPr>
            </w:pPr>
            <w:r>
              <w:rPr>
                <w:rFonts w:ascii="Arial" w:cs="Arial" w:eastAsia="Arial" w:hAnsi="Arial"/>
                <w:sz w:val="18"/>
                <w:szCs w:val="18"/>
                <w:b w:val="1"/>
                <w:bCs w:val="1"/>
                <w:color w:val="auto"/>
              </w:rPr>
              <w:t>6 months</w:t>
            </w:r>
          </w:p>
        </w:tc>
        <w:tc>
          <w:tcPr>
            <w:tcW w:w="1300" w:type="dxa"/>
            <w:vAlign w:val="bottom"/>
            <w:vMerge w:val="restart"/>
          </w:tcPr>
          <w:p>
            <w:pPr>
              <w:jc w:val="right"/>
              <w:ind w:right="312"/>
              <w:spacing w:after="0"/>
              <w:rPr>
                <w:sz w:val="20"/>
                <w:szCs w:val="20"/>
                <w:color w:val="auto"/>
              </w:rPr>
            </w:pPr>
            <w:r>
              <w:rPr>
                <w:rFonts w:ascii="Arial" w:cs="Arial" w:eastAsia="Arial" w:hAnsi="Arial"/>
                <w:sz w:val="18"/>
                <w:szCs w:val="18"/>
                <w:b w:val="1"/>
                <w:bCs w:val="1"/>
                <w:color w:val="auto"/>
              </w:rPr>
              <w:t>6-12</w:t>
            </w: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00" w:type="dxa"/>
            <w:vAlign w:val="bottom"/>
          </w:tcPr>
          <w:p>
            <w:pPr>
              <w:jc w:val="right"/>
              <w:ind w:right="192"/>
              <w:spacing w:after="0"/>
              <w:rPr>
                <w:sz w:val="20"/>
                <w:szCs w:val="20"/>
                <w:color w:val="auto"/>
              </w:rPr>
            </w:pPr>
            <w:r>
              <w:rPr>
                <w:rFonts w:ascii="Arial" w:cs="Arial" w:eastAsia="Arial" w:hAnsi="Arial"/>
                <w:sz w:val="18"/>
                <w:szCs w:val="18"/>
                <w:b w:val="1"/>
                <w:bCs w:val="1"/>
                <w:color w:val="auto"/>
              </w:rPr>
              <w:t>Amount</w:t>
            </w:r>
          </w:p>
        </w:tc>
        <w:tc>
          <w:tcPr>
            <w:tcW w:w="1500" w:type="dxa"/>
            <w:vAlign w:val="bottom"/>
          </w:tcPr>
          <w:p>
            <w:pPr>
              <w:jc w:val="right"/>
              <w:ind w:right="292"/>
              <w:spacing w:after="0"/>
              <w:rPr>
                <w:sz w:val="20"/>
                <w:szCs w:val="20"/>
                <w:color w:val="auto"/>
              </w:rPr>
            </w:pPr>
            <w:r>
              <w:rPr>
                <w:rFonts w:ascii="Arial" w:cs="Arial" w:eastAsia="Arial" w:hAnsi="Arial"/>
                <w:sz w:val="18"/>
                <w:szCs w:val="18"/>
                <w:b w:val="1"/>
                <w:bCs w:val="1"/>
                <w:color w:val="auto"/>
              </w:rPr>
              <w:t>Cashflows</w:t>
            </w:r>
          </w:p>
        </w:tc>
        <w:tc>
          <w:tcPr>
            <w:tcW w:w="1460" w:type="dxa"/>
            <w:vAlign w:val="bottom"/>
          </w:tcPr>
          <w:p>
            <w:pPr>
              <w:jc w:val="right"/>
              <w:ind w:right="352"/>
              <w:spacing w:after="0"/>
              <w:rPr>
                <w:sz w:val="20"/>
                <w:szCs w:val="20"/>
                <w:color w:val="auto"/>
              </w:rPr>
            </w:pPr>
            <w:r>
              <w:rPr>
                <w:rFonts w:ascii="Arial" w:cs="Arial" w:eastAsia="Arial" w:hAnsi="Arial"/>
                <w:sz w:val="18"/>
                <w:szCs w:val="18"/>
                <w:b w:val="1"/>
                <w:bCs w:val="1"/>
                <w:color w:val="auto"/>
              </w:rPr>
              <w:t>or less</w:t>
            </w:r>
          </w:p>
        </w:tc>
        <w:tc>
          <w:tcPr>
            <w:tcW w:w="1300" w:type="dxa"/>
            <w:vAlign w:val="bottom"/>
          </w:tcPr>
          <w:p>
            <w:pPr>
              <w:jc w:val="right"/>
              <w:ind w:right="272"/>
              <w:spacing w:after="0"/>
              <w:rPr>
                <w:sz w:val="20"/>
                <w:szCs w:val="20"/>
                <w:color w:val="auto"/>
              </w:rPr>
            </w:pPr>
            <w:r>
              <w:rPr>
                <w:rFonts w:ascii="Arial" w:cs="Arial" w:eastAsia="Arial" w:hAnsi="Arial"/>
                <w:sz w:val="18"/>
                <w:szCs w:val="18"/>
                <w:b w:val="1"/>
                <w:bCs w:val="1"/>
                <w:color w:val="auto"/>
              </w:rPr>
              <w:t>months</w:t>
            </w:r>
          </w:p>
        </w:tc>
        <w:tc>
          <w:tcPr>
            <w:tcW w:w="1360" w:type="dxa"/>
            <w:vAlign w:val="bottom"/>
          </w:tcPr>
          <w:p>
            <w:pPr>
              <w:jc w:val="right"/>
              <w:ind w:right="272"/>
              <w:spacing w:after="0"/>
              <w:rPr>
                <w:sz w:val="20"/>
                <w:szCs w:val="20"/>
                <w:color w:val="auto"/>
              </w:rPr>
            </w:pPr>
            <w:r>
              <w:rPr>
                <w:rFonts w:ascii="Arial" w:cs="Arial" w:eastAsia="Arial" w:hAnsi="Arial"/>
                <w:sz w:val="18"/>
                <w:szCs w:val="18"/>
                <w:b w:val="1"/>
                <w:bCs w:val="1"/>
                <w:color w:val="auto"/>
              </w:rPr>
              <w:t>1-2 years</w:t>
            </w:r>
          </w:p>
        </w:tc>
        <w:tc>
          <w:tcPr>
            <w:tcW w:w="1240" w:type="dxa"/>
            <w:vAlign w:val="bottom"/>
          </w:tcPr>
          <w:p>
            <w:pPr>
              <w:jc w:val="right"/>
              <w:ind w:right="172"/>
              <w:spacing w:after="0"/>
              <w:rPr>
                <w:sz w:val="20"/>
                <w:szCs w:val="20"/>
                <w:color w:val="auto"/>
              </w:rPr>
            </w:pPr>
            <w:r>
              <w:rPr>
                <w:rFonts w:ascii="Arial" w:cs="Arial" w:eastAsia="Arial" w:hAnsi="Arial"/>
                <w:sz w:val="18"/>
                <w:szCs w:val="18"/>
                <w:b w:val="1"/>
                <w:bCs w:val="1"/>
                <w:color w:val="auto"/>
              </w:rPr>
              <w:t>2-5 years</w:t>
            </w: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100" w:type="dxa"/>
            <w:vAlign w:val="bottom"/>
          </w:tcPr>
          <w:p>
            <w:pPr>
              <w:jc w:val="right"/>
              <w:ind w:right="192"/>
              <w:spacing w:after="0"/>
              <w:rPr>
                <w:sz w:val="20"/>
                <w:szCs w:val="20"/>
                <w:color w:val="auto"/>
              </w:rPr>
            </w:pPr>
            <w:r>
              <w:rPr>
                <w:rFonts w:ascii="Arial" w:cs="Arial" w:eastAsia="Arial" w:hAnsi="Arial"/>
                <w:sz w:val="18"/>
                <w:szCs w:val="18"/>
                <w:b w:val="1"/>
                <w:bCs w:val="1"/>
                <w:color w:val="auto"/>
              </w:rPr>
              <w:t>$’000</w:t>
            </w:r>
          </w:p>
        </w:tc>
        <w:tc>
          <w:tcPr>
            <w:tcW w:w="1500" w:type="dxa"/>
            <w:vAlign w:val="bottom"/>
          </w:tcPr>
          <w:p>
            <w:pPr>
              <w:jc w:val="right"/>
              <w:ind w:right="292"/>
              <w:spacing w:after="0"/>
              <w:rPr>
                <w:sz w:val="20"/>
                <w:szCs w:val="20"/>
                <w:color w:val="auto"/>
              </w:rPr>
            </w:pPr>
            <w:r>
              <w:rPr>
                <w:rFonts w:ascii="Arial" w:cs="Arial" w:eastAsia="Arial" w:hAnsi="Arial"/>
                <w:sz w:val="18"/>
                <w:szCs w:val="18"/>
                <w:b w:val="1"/>
                <w:bCs w:val="1"/>
                <w:color w:val="auto"/>
              </w:rPr>
              <w:t>$’000</w:t>
            </w:r>
          </w:p>
        </w:tc>
        <w:tc>
          <w:tcPr>
            <w:tcW w:w="1460" w:type="dxa"/>
            <w:vAlign w:val="bottom"/>
          </w:tcPr>
          <w:p>
            <w:pPr>
              <w:jc w:val="right"/>
              <w:ind w:right="352"/>
              <w:spacing w:after="0"/>
              <w:rPr>
                <w:sz w:val="20"/>
                <w:szCs w:val="20"/>
                <w:color w:val="auto"/>
              </w:rPr>
            </w:pPr>
            <w:r>
              <w:rPr>
                <w:rFonts w:ascii="Arial" w:cs="Arial" w:eastAsia="Arial" w:hAnsi="Arial"/>
                <w:sz w:val="18"/>
                <w:szCs w:val="18"/>
                <w:b w:val="1"/>
                <w:bCs w:val="1"/>
                <w:color w:val="auto"/>
              </w:rPr>
              <w:t>$’000</w:t>
            </w:r>
          </w:p>
        </w:tc>
        <w:tc>
          <w:tcPr>
            <w:tcW w:w="1300" w:type="dxa"/>
            <w:vAlign w:val="bottom"/>
          </w:tcPr>
          <w:p>
            <w:pPr>
              <w:jc w:val="right"/>
              <w:ind w:right="272"/>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272"/>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72"/>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2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Non-current other</w:t>
            </w:r>
          </w:p>
        </w:tc>
        <w:tc>
          <w:tcPr>
            <w:tcW w:w="1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(3,232)</w:t>
            </w:r>
          </w:p>
        </w:tc>
        <w:tc>
          <w:tcPr>
            <w:tcW w:w="15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(3,232)</w:t>
            </w:r>
          </w:p>
        </w:tc>
        <w:tc>
          <w:tcPr>
            <w:tcW w:w="14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(3,232)</w:t>
            </w:r>
          </w:p>
        </w:tc>
        <w:tc>
          <w:tcPr>
            <w:tcW w:w="12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Non-current provisions</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(11,903)</w:t>
            </w:r>
          </w:p>
        </w:tc>
        <w:tc>
          <w:tcPr>
            <w:tcW w:w="1500" w:type="dxa"/>
            <w:vAlign w:val="bottom"/>
          </w:tcPr>
          <w:p>
            <w:pPr>
              <w:jc w:val="right"/>
              <w:ind w:right="232"/>
              <w:spacing w:after="0"/>
              <w:rPr>
                <w:sz w:val="20"/>
                <w:szCs w:val="20"/>
                <w:color w:val="auto"/>
              </w:rPr>
            </w:pPr>
            <w:r>
              <w:rPr>
                <w:rFonts w:ascii="Arial" w:cs="Arial" w:eastAsia="Arial" w:hAnsi="Arial"/>
                <w:sz w:val="18"/>
                <w:szCs w:val="18"/>
                <w:color w:val="auto"/>
              </w:rPr>
              <w:t>(12,602)</w:t>
            </w:r>
          </w:p>
        </w:tc>
        <w:tc>
          <w:tcPr>
            <w:tcW w:w="14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(12,602)</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(5,340)</w:t>
            </w:r>
          </w:p>
        </w:tc>
        <w:tc>
          <w:tcPr>
            <w:tcW w:w="15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(5,340)</w:t>
            </w:r>
          </w:p>
        </w:tc>
        <w:tc>
          <w:tcPr>
            <w:tcW w:w="14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(5,340)</w:t>
            </w:r>
          </w:p>
        </w:tc>
        <w:tc>
          <w:tcPr>
            <w:tcW w:w="13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60" w:type="dxa"/>
            <w:vAlign w:val="bottom"/>
          </w:tcPr>
          <w:p>
            <w:pPr>
              <w:spacing w:after="0" w:line="200" w:lineRule="exact"/>
              <w:rPr>
                <w:sz w:val="20"/>
                <w:szCs w:val="20"/>
                <w:color w:val="auto"/>
              </w:rPr>
            </w:pPr>
            <w:r>
              <w:rPr>
                <w:rFonts w:ascii="Arial" w:cs="Arial" w:eastAsia="Arial" w:hAnsi="Arial"/>
                <w:sz w:val="18"/>
                <w:szCs w:val="18"/>
                <w:color w:val="auto"/>
              </w:rPr>
              <w:t>Accrued and other</w:t>
            </w: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2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(104,399)</w:t>
            </w:r>
          </w:p>
        </w:tc>
        <w:tc>
          <w:tcPr>
            <w:tcW w:w="1500" w:type="dxa"/>
            <w:vAlign w:val="bottom"/>
          </w:tcPr>
          <w:p>
            <w:pPr>
              <w:jc w:val="right"/>
              <w:ind w:right="232"/>
              <w:spacing w:after="0"/>
              <w:rPr>
                <w:sz w:val="20"/>
                <w:szCs w:val="20"/>
                <w:color w:val="auto"/>
              </w:rPr>
            </w:pPr>
            <w:r>
              <w:rPr>
                <w:rFonts w:ascii="Arial" w:cs="Arial" w:eastAsia="Arial" w:hAnsi="Arial"/>
                <w:sz w:val="18"/>
                <w:szCs w:val="18"/>
                <w:color w:val="auto"/>
              </w:rPr>
              <w:t>(104,399)</w:t>
            </w:r>
          </w:p>
        </w:tc>
        <w:tc>
          <w:tcPr>
            <w:tcW w:w="1460" w:type="dxa"/>
            <w:vAlign w:val="bottom"/>
          </w:tcPr>
          <w:p>
            <w:pPr>
              <w:jc w:val="right"/>
              <w:ind w:right="292"/>
              <w:spacing w:after="0"/>
              <w:rPr>
                <w:sz w:val="20"/>
                <w:szCs w:val="20"/>
                <w:color w:val="auto"/>
              </w:rPr>
            </w:pPr>
            <w:r>
              <w:rPr>
                <w:rFonts w:ascii="Arial" w:cs="Arial" w:eastAsia="Arial" w:hAnsi="Arial"/>
                <w:sz w:val="18"/>
                <w:szCs w:val="18"/>
                <w:color w:val="auto"/>
              </w:rPr>
              <w:t>(104,399)</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Provisions</w:t>
            </w: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(41,489)</w:t>
            </w:r>
          </w:p>
        </w:tc>
        <w:tc>
          <w:tcPr>
            <w:tcW w:w="15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(41,974)</w:t>
            </w:r>
          </w:p>
        </w:tc>
        <w:tc>
          <w:tcPr>
            <w:tcW w:w="14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(28,682)</w:t>
            </w:r>
          </w:p>
        </w:tc>
        <w:tc>
          <w:tcPr>
            <w:tcW w:w="13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(13,292)</w:t>
            </w:r>
          </w:p>
        </w:tc>
        <w:tc>
          <w:tcPr>
            <w:tcW w:w="13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(166,363)</w:t>
            </w:r>
          </w:p>
        </w:tc>
        <w:tc>
          <w:tcPr>
            <w:tcW w:w="15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(167,547)</w:t>
            </w:r>
          </w:p>
        </w:tc>
        <w:tc>
          <w:tcPr>
            <w:tcW w:w="14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(138,421)</w:t>
            </w:r>
          </w:p>
        </w:tc>
        <w:tc>
          <w:tcPr>
            <w:tcW w:w="13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(13,292)</w:t>
            </w:r>
          </w:p>
        </w:tc>
        <w:tc>
          <w:tcPr>
            <w:tcW w:w="13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(15,834)</w:t>
            </w:r>
          </w:p>
        </w:tc>
        <w:tc>
          <w:tcPr>
            <w:tcW w:w="12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*Certain reclassifications have been made to prior year comparatives to be consistent with the current year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Non-current other liabilities above excludes retirement plan net benefit obligation (2012: $4.7 million and 2011: $4.9 million) and deferred government grants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(2012: $1.4 million and 2011: $1.4 million). Accrued and other liabilities excludes deferred government grants (2012: $0.2 million and 2011: $0.1 million).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Group is subject to a number of foreign currency risks given the global nature of its operations. The principal foreign currency risks to which the business is subject to includes both foreign currency translation risk and foreign currency transaction risk. Although domiciled in Ireland, the Group reports its results in U.S. dollars. As a consequence the results of non-U.S. based operations, when translated into U.S. dollars, could be affected by fluctuations in exchange rates between the U.S. dollar and the currencies of those operations.</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Group is also subject to foreign currency transaction exposures as the currency in which contracts are priced can be different from the currencies in which costs relating to those contracts are incurred. The Group’s operations in the United States are not materially exposed to such currency differences as the majority of revenues and costs are in U.S. dollars. However, outside the United States the multinational nature of the Group’s activities means that contracts are usually priced in a single currency, most often U.S. dollars, Euros or pounds Sterling, while costs arise in a number of currencies, depending on, among other things, which of the Group’s offices provide staff for the contract, and the location of investigator sites.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the results of the Group’s operations. The Group regularly reviews its foreign currency exposures and usually negotiates currency fluctuation clauses in its contracts which allow for price negotiation if certain exchange rate triggers occur.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25. Financial Instruments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out the Group’s transaction risk in relation to financial assets and liabilities at 31 December 2012: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40" w:type="dxa"/>
            <w:vAlign w:val="bottom"/>
          </w:tcPr>
          <w:p>
            <w:pPr>
              <w:jc w:val="right"/>
              <w:ind w:right="452"/>
              <w:spacing w:after="0"/>
              <w:rPr>
                <w:sz w:val="20"/>
                <w:szCs w:val="20"/>
                <w:color w:val="auto"/>
              </w:rPr>
            </w:pPr>
            <w:r>
              <w:rPr>
                <w:rFonts w:ascii="Arial" w:cs="Arial" w:eastAsia="Arial" w:hAnsi="Arial"/>
                <w:sz w:val="18"/>
                <w:szCs w:val="18"/>
                <w:b w:val="1"/>
                <w:bCs w:val="1"/>
                <w:color w:val="auto"/>
              </w:rPr>
              <w:t>U.S. Dollar</w:t>
            </w:r>
          </w:p>
        </w:tc>
        <w:tc>
          <w:tcPr>
            <w:tcW w:w="1700" w:type="dxa"/>
            <w:vAlign w:val="bottom"/>
          </w:tcPr>
          <w:p>
            <w:pPr>
              <w:jc w:val="right"/>
              <w:ind w:right="532"/>
              <w:spacing w:after="0"/>
              <w:rPr>
                <w:sz w:val="20"/>
                <w:szCs w:val="20"/>
                <w:color w:val="auto"/>
              </w:rPr>
            </w:pPr>
            <w:r>
              <w:rPr>
                <w:rFonts w:ascii="Arial" w:cs="Arial" w:eastAsia="Arial" w:hAnsi="Arial"/>
                <w:sz w:val="18"/>
                <w:szCs w:val="18"/>
                <w:b w:val="1"/>
                <w:bCs w:val="1"/>
                <w:color w:val="auto"/>
              </w:rPr>
              <w:t>Sterling</w:t>
            </w:r>
          </w:p>
        </w:tc>
        <w:tc>
          <w:tcPr>
            <w:tcW w:w="1540" w:type="dxa"/>
            <w:vAlign w:val="bottom"/>
          </w:tcPr>
          <w:p>
            <w:pPr>
              <w:jc w:val="right"/>
              <w:ind w:right="452"/>
              <w:spacing w:after="0"/>
              <w:rPr>
                <w:sz w:val="20"/>
                <w:szCs w:val="20"/>
                <w:color w:val="auto"/>
              </w:rPr>
            </w:pPr>
            <w:r>
              <w:rPr>
                <w:rFonts w:ascii="Arial" w:cs="Arial" w:eastAsia="Arial" w:hAnsi="Arial"/>
                <w:sz w:val="18"/>
                <w:szCs w:val="18"/>
                <w:b w:val="1"/>
                <w:bCs w:val="1"/>
                <w:color w:val="auto"/>
              </w:rPr>
              <w:t>Euro</w:t>
            </w:r>
          </w:p>
        </w:tc>
        <w:tc>
          <w:tcPr>
            <w:tcW w:w="1520" w:type="dxa"/>
            <w:vAlign w:val="bottom"/>
          </w:tcPr>
          <w:p>
            <w:pPr>
              <w:jc w:val="right"/>
              <w:ind w:right="392"/>
              <w:spacing w:after="0"/>
              <w:rPr>
                <w:sz w:val="20"/>
                <w:szCs w:val="20"/>
                <w:color w:val="auto"/>
              </w:rPr>
            </w:pPr>
            <w:r>
              <w:rPr>
                <w:rFonts w:ascii="Arial" w:cs="Arial" w:eastAsia="Arial" w:hAnsi="Arial"/>
                <w:sz w:val="18"/>
                <w:szCs w:val="18"/>
                <w:b w:val="1"/>
                <w:bCs w:val="1"/>
                <w:color w:val="auto"/>
              </w:rPr>
              <w:t>Other</w:t>
            </w: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40" w:type="dxa"/>
            <w:vAlign w:val="bottom"/>
          </w:tcPr>
          <w:p>
            <w:pPr>
              <w:jc w:val="right"/>
              <w:ind w:right="452"/>
              <w:spacing w:after="0"/>
              <w:rPr>
                <w:sz w:val="20"/>
                <w:szCs w:val="20"/>
                <w:color w:val="auto"/>
              </w:rPr>
            </w:pPr>
            <w:r>
              <w:rPr>
                <w:rFonts w:ascii="Arial" w:cs="Arial" w:eastAsia="Arial" w:hAnsi="Arial"/>
                <w:sz w:val="18"/>
                <w:szCs w:val="18"/>
                <w:b w:val="1"/>
                <w:bCs w:val="1"/>
                <w:color w:val="auto"/>
              </w:rPr>
              <w:t>2012</w:t>
            </w:r>
          </w:p>
        </w:tc>
        <w:tc>
          <w:tcPr>
            <w:tcW w:w="1700" w:type="dxa"/>
            <w:vAlign w:val="bottom"/>
          </w:tcPr>
          <w:p>
            <w:pPr>
              <w:jc w:val="right"/>
              <w:ind w:right="532"/>
              <w:spacing w:after="0"/>
              <w:rPr>
                <w:sz w:val="20"/>
                <w:szCs w:val="20"/>
                <w:color w:val="auto"/>
              </w:rPr>
            </w:pPr>
            <w:r>
              <w:rPr>
                <w:rFonts w:ascii="Arial" w:cs="Arial" w:eastAsia="Arial" w:hAnsi="Arial"/>
                <w:sz w:val="18"/>
                <w:szCs w:val="18"/>
                <w:b w:val="1"/>
                <w:bCs w:val="1"/>
                <w:color w:val="auto"/>
              </w:rPr>
              <w:t>2012</w:t>
            </w:r>
          </w:p>
        </w:tc>
        <w:tc>
          <w:tcPr>
            <w:tcW w:w="1540" w:type="dxa"/>
            <w:vAlign w:val="bottom"/>
          </w:tcPr>
          <w:p>
            <w:pPr>
              <w:jc w:val="right"/>
              <w:ind w:right="452"/>
              <w:spacing w:after="0"/>
              <w:rPr>
                <w:sz w:val="20"/>
                <w:szCs w:val="20"/>
                <w:color w:val="auto"/>
              </w:rPr>
            </w:pPr>
            <w:r>
              <w:rPr>
                <w:rFonts w:ascii="Arial" w:cs="Arial" w:eastAsia="Arial" w:hAnsi="Arial"/>
                <w:sz w:val="18"/>
                <w:szCs w:val="18"/>
                <w:b w:val="1"/>
                <w:bCs w:val="1"/>
                <w:color w:val="auto"/>
              </w:rPr>
              <w:t>2012</w:t>
            </w:r>
          </w:p>
        </w:tc>
        <w:tc>
          <w:tcPr>
            <w:tcW w:w="1520" w:type="dxa"/>
            <w:vAlign w:val="bottom"/>
          </w:tcPr>
          <w:p>
            <w:pPr>
              <w:jc w:val="right"/>
              <w:ind w:right="392"/>
              <w:spacing w:after="0"/>
              <w:rPr>
                <w:sz w:val="20"/>
                <w:szCs w:val="20"/>
                <w:color w:val="auto"/>
              </w:rPr>
            </w:pPr>
            <w:r>
              <w:rPr>
                <w:rFonts w:ascii="Arial" w:cs="Arial" w:eastAsia="Arial" w:hAnsi="Arial"/>
                <w:sz w:val="18"/>
                <w:szCs w:val="18"/>
                <w:b w:val="1"/>
                <w:bCs w:val="1"/>
                <w:color w:val="auto"/>
              </w:rPr>
              <w:t>2012</w:t>
            </w: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40" w:type="dxa"/>
            <w:vAlign w:val="bottom"/>
          </w:tcPr>
          <w:p>
            <w:pPr>
              <w:jc w:val="right"/>
              <w:ind w:right="452"/>
              <w:spacing w:after="0"/>
              <w:rPr>
                <w:sz w:val="20"/>
                <w:szCs w:val="20"/>
                <w:color w:val="auto"/>
              </w:rPr>
            </w:pPr>
            <w:r>
              <w:rPr>
                <w:rFonts w:ascii="Arial" w:cs="Arial" w:eastAsia="Arial" w:hAnsi="Arial"/>
                <w:sz w:val="18"/>
                <w:szCs w:val="18"/>
                <w:b w:val="1"/>
                <w:bCs w:val="1"/>
                <w:color w:val="auto"/>
              </w:rPr>
              <w:t>$’000</w:t>
            </w:r>
          </w:p>
        </w:tc>
        <w:tc>
          <w:tcPr>
            <w:tcW w:w="1700" w:type="dxa"/>
            <w:vAlign w:val="bottom"/>
          </w:tcPr>
          <w:p>
            <w:pPr>
              <w:jc w:val="right"/>
              <w:ind w:right="532"/>
              <w:spacing w:after="0"/>
              <w:rPr>
                <w:sz w:val="20"/>
                <w:szCs w:val="20"/>
                <w:color w:val="auto"/>
              </w:rPr>
            </w:pPr>
            <w:r>
              <w:rPr>
                <w:rFonts w:ascii="Arial" w:cs="Arial" w:eastAsia="Arial" w:hAnsi="Arial"/>
                <w:sz w:val="18"/>
                <w:szCs w:val="18"/>
                <w:b w:val="1"/>
                <w:bCs w:val="1"/>
                <w:color w:val="auto"/>
              </w:rPr>
              <w:t>$’000</w:t>
            </w:r>
          </w:p>
        </w:tc>
        <w:tc>
          <w:tcPr>
            <w:tcW w:w="1540" w:type="dxa"/>
            <w:vAlign w:val="bottom"/>
          </w:tcPr>
          <w:p>
            <w:pPr>
              <w:jc w:val="right"/>
              <w:ind w:right="452"/>
              <w:spacing w:after="0"/>
              <w:rPr>
                <w:sz w:val="20"/>
                <w:szCs w:val="20"/>
                <w:color w:val="auto"/>
              </w:rPr>
            </w:pPr>
            <w:r>
              <w:rPr>
                <w:rFonts w:ascii="Arial" w:cs="Arial" w:eastAsia="Arial" w:hAnsi="Arial"/>
                <w:sz w:val="18"/>
                <w:szCs w:val="18"/>
                <w:b w:val="1"/>
                <w:bCs w:val="1"/>
                <w:color w:val="auto"/>
              </w:rPr>
              <w:t>$’000</w:t>
            </w:r>
          </w:p>
        </w:tc>
        <w:tc>
          <w:tcPr>
            <w:tcW w:w="1520" w:type="dxa"/>
            <w:vAlign w:val="bottom"/>
          </w:tcPr>
          <w:p>
            <w:pPr>
              <w:jc w:val="right"/>
              <w:ind w:right="392"/>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69,444</w:t>
            </w:r>
          </w:p>
        </w:tc>
        <w:tc>
          <w:tcPr>
            <w:tcW w:w="17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5,174</w:t>
            </w:r>
          </w:p>
        </w:tc>
        <w:tc>
          <w:tcPr>
            <w:tcW w:w="15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2,455</w:t>
            </w:r>
          </w:p>
        </w:tc>
        <w:tc>
          <w:tcPr>
            <w:tcW w:w="15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1,061</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78,134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Unbilled revenue/payments on account</w:t>
            </w:r>
          </w:p>
        </w:tc>
        <w:tc>
          <w:tcPr>
            <w:tcW w:w="2040" w:type="dxa"/>
            <w:vAlign w:val="bottom"/>
          </w:tcPr>
          <w:p>
            <w:pPr>
              <w:jc w:val="right"/>
              <w:ind w:right="392"/>
              <w:spacing w:after="0"/>
              <w:rPr>
                <w:sz w:val="20"/>
                <w:szCs w:val="20"/>
                <w:color w:val="auto"/>
              </w:rPr>
            </w:pPr>
            <w:r>
              <w:rPr>
                <w:rFonts w:ascii="Arial" w:cs="Arial" w:eastAsia="Arial" w:hAnsi="Arial"/>
                <w:sz w:val="18"/>
                <w:szCs w:val="18"/>
                <w:color w:val="auto"/>
              </w:rPr>
              <w:t>(57,915)</w:t>
            </w:r>
          </w:p>
        </w:tc>
        <w:tc>
          <w:tcPr>
            <w:tcW w:w="1700" w:type="dxa"/>
            <w:vAlign w:val="bottom"/>
          </w:tcPr>
          <w:p>
            <w:pPr>
              <w:jc w:val="right"/>
              <w:ind w:right="472"/>
              <w:spacing w:after="0"/>
              <w:rPr>
                <w:sz w:val="20"/>
                <w:szCs w:val="20"/>
                <w:color w:val="auto"/>
              </w:rPr>
            </w:pPr>
            <w:r>
              <w:rPr>
                <w:rFonts w:ascii="Arial" w:cs="Arial" w:eastAsia="Arial" w:hAnsi="Arial"/>
                <w:sz w:val="18"/>
                <w:szCs w:val="18"/>
                <w:color w:val="auto"/>
              </w:rPr>
              <w:t>(3,180)</w:t>
            </w:r>
          </w:p>
        </w:tc>
        <w:tc>
          <w:tcPr>
            <w:tcW w:w="1540" w:type="dxa"/>
            <w:vAlign w:val="bottom"/>
          </w:tcPr>
          <w:p>
            <w:pPr>
              <w:jc w:val="right"/>
              <w:ind w:right="452"/>
              <w:spacing w:after="0"/>
              <w:rPr>
                <w:sz w:val="20"/>
                <w:szCs w:val="20"/>
                <w:color w:val="auto"/>
              </w:rPr>
            </w:pPr>
            <w:r>
              <w:rPr>
                <w:rFonts w:ascii="Arial" w:cs="Arial" w:eastAsia="Arial" w:hAnsi="Arial"/>
                <w:sz w:val="18"/>
                <w:szCs w:val="18"/>
                <w:color w:val="auto"/>
              </w:rPr>
              <w:t>1,349</w:t>
            </w:r>
          </w:p>
        </w:tc>
        <w:tc>
          <w:tcPr>
            <w:tcW w:w="1520" w:type="dxa"/>
            <w:vAlign w:val="bottom"/>
          </w:tcPr>
          <w:p>
            <w:pPr>
              <w:jc w:val="right"/>
              <w:ind w:right="332"/>
              <w:spacing w:after="0"/>
              <w:rPr>
                <w:sz w:val="20"/>
                <w:szCs w:val="20"/>
                <w:color w:val="auto"/>
              </w:rPr>
            </w:pPr>
            <w:r>
              <w:rPr>
                <w:rFonts w:ascii="Arial" w:cs="Arial" w:eastAsia="Arial" w:hAnsi="Arial"/>
                <w:sz w:val="18"/>
                <w:szCs w:val="18"/>
                <w:color w:val="auto"/>
              </w:rPr>
              <w:t>(2,062)</w:t>
            </w:r>
          </w:p>
        </w:tc>
        <w:tc>
          <w:tcPr>
            <w:tcW w:w="1180" w:type="dxa"/>
            <w:vAlign w:val="bottom"/>
          </w:tcPr>
          <w:p>
            <w:pPr>
              <w:jc w:val="right"/>
              <w:spacing w:after="0"/>
              <w:rPr>
                <w:sz w:val="20"/>
                <w:szCs w:val="20"/>
                <w:color w:val="auto"/>
              </w:rPr>
            </w:pPr>
            <w:r>
              <w:rPr>
                <w:rFonts w:ascii="Arial" w:cs="Arial" w:eastAsia="Arial" w:hAnsi="Arial"/>
                <w:sz w:val="18"/>
                <w:szCs w:val="18"/>
                <w:color w:val="auto"/>
              </w:rPr>
              <w:t>(61,808)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96,381</w:t>
            </w:r>
          </w:p>
        </w:tc>
        <w:tc>
          <w:tcPr>
            <w:tcW w:w="17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159</w:t>
            </w:r>
          </w:p>
        </w:tc>
        <w:tc>
          <w:tcPr>
            <w:tcW w:w="15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863</w:t>
            </w:r>
          </w:p>
        </w:tc>
        <w:tc>
          <w:tcPr>
            <w:tcW w:w="15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720</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98,123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Other current assets</w:t>
            </w:r>
          </w:p>
        </w:tc>
        <w:tc>
          <w:tcPr>
            <w:tcW w:w="2040" w:type="dxa"/>
            <w:vAlign w:val="bottom"/>
          </w:tcPr>
          <w:p>
            <w:pPr>
              <w:jc w:val="right"/>
              <w:ind w:right="452"/>
              <w:spacing w:after="0"/>
              <w:rPr>
                <w:sz w:val="20"/>
                <w:szCs w:val="20"/>
                <w:color w:val="auto"/>
              </w:rPr>
            </w:pPr>
            <w:r>
              <w:rPr>
                <w:rFonts w:ascii="Arial" w:cs="Arial" w:eastAsia="Arial" w:hAnsi="Arial"/>
                <w:sz w:val="18"/>
                <w:szCs w:val="18"/>
                <w:color w:val="auto"/>
              </w:rPr>
              <w:t>505</w:t>
            </w:r>
          </w:p>
        </w:tc>
        <w:tc>
          <w:tcPr>
            <w:tcW w:w="1700" w:type="dxa"/>
            <w:vAlign w:val="bottom"/>
          </w:tcPr>
          <w:p>
            <w:pPr>
              <w:jc w:val="right"/>
              <w:ind w:right="532"/>
              <w:spacing w:after="0"/>
              <w:rPr>
                <w:sz w:val="20"/>
                <w:szCs w:val="20"/>
                <w:color w:val="auto"/>
              </w:rPr>
            </w:pPr>
            <w:r>
              <w:rPr>
                <w:rFonts w:ascii="Arial" w:cs="Arial" w:eastAsia="Arial" w:hAnsi="Arial"/>
                <w:sz w:val="18"/>
                <w:szCs w:val="18"/>
                <w:color w:val="auto"/>
              </w:rPr>
              <w:t>90</w:t>
            </w:r>
          </w:p>
        </w:tc>
        <w:tc>
          <w:tcPr>
            <w:tcW w:w="1540" w:type="dxa"/>
            <w:vAlign w:val="bottom"/>
          </w:tcPr>
          <w:p>
            <w:pPr>
              <w:jc w:val="right"/>
              <w:ind w:right="452"/>
              <w:spacing w:after="0"/>
              <w:rPr>
                <w:sz w:val="20"/>
                <w:szCs w:val="20"/>
                <w:color w:val="auto"/>
              </w:rPr>
            </w:pPr>
            <w:r>
              <w:rPr>
                <w:rFonts w:ascii="Arial" w:cs="Arial" w:eastAsia="Arial" w:hAnsi="Arial"/>
                <w:sz w:val="18"/>
                <w:szCs w:val="18"/>
                <w:color w:val="auto"/>
              </w:rPr>
              <w:t>513</w:t>
            </w:r>
          </w:p>
        </w:tc>
        <w:tc>
          <w:tcPr>
            <w:tcW w:w="1520" w:type="dxa"/>
            <w:vAlign w:val="bottom"/>
          </w:tcPr>
          <w:p>
            <w:pPr>
              <w:jc w:val="right"/>
              <w:ind w:right="392"/>
              <w:spacing w:after="0"/>
              <w:rPr>
                <w:sz w:val="20"/>
                <w:szCs w:val="20"/>
                <w:color w:val="auto"/>
              </w:rPr>
            </w:pPr>
            <w:r>
              <w:rPr>
                <w:rFonts w:ascii="Arial" w:cs="Arial" w:eastAsia="Arial" w:hAnsi="Arial"/>
                <w:sz w:val="18"/>
                <w:szCs w:val="18"/>
                <w:color w:val="auto"/>
              </w:rPr>
              <w:t>38</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62</w:t>
            </w:r>
          </w:p>
        </w:tc>
        <w:tc>
          <w:tcPr>
            <w:tcW w:w="17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Accounts payable</w:t>
            </w:r>
          </w:p>
        </w:tc>
        <w:tc>
          <w:tcPr>
            <w:tcW w:w="2040" w:type="dxa"/>
            <w:vAlign w:val="bottom"/>
          </w:tcPr>
          <w:p>
            <w:pPr>
              <w:jc w:val="right"/>
              <w:ind w:right="392"/>
              <w:spacing w:after="0"/>
              <w:rPr>
                <w:sz w:val="20"/>
                <w:szCs w:val="20"/>
                <w:color w:val="auto"/>
              </w:rPr>
            </w:pPr>
            <w:r>
              <w:rPr>
                <w:rFonts w:ascii="Arial" w:cs="Arial" w:eastAsia="Arial" w:hAnsi="Arial"/>
                <w:sz w:val="18"/>
                <w:szCs w:val="18"/>
                <w:color w:val="auto"/>
              </w:rPr>
              <w:t>(2,233)</w:t>
            </w:r>
          </w:p>
        </w:tc>
        <w:tc>
          <w:tcPr>
            <w:tcW w:w="1700" w:type="dxa"/>
            <w:vAlign w:val="bottom"/>
          </w:tcPr>
          <w:p>
            <w:pPr>
              <w:jc w:val="right"/>
              <w:ind w:right="472"/>
              <w:spacing w:after="0"/>
              <w:rPr>
                <w:sz w:val="20"/>
                <w:szCs w:val="20"/>
                <w:color w:val="auto"/>
              </w:rPr>
            </w:pPr>
            <w:r>
              <w:rPr>
                <w:rFonts w:ascii="Arial" w:cs="Arial" w:eastAsia="Arial" w:hAnsi="Arial"/>
                <w:sz w:val="18"/>
                <w:szCs w:val="18"/>
                <w:color w:val="auto"/>
              </w:rPr>
              <w:t>(372)</w:t>
            </w:r>
          </w:p>
        </w:tc>
        <w:tc>
          <w:tcPr>
            <w:tcW w:w="1540" w:type="dxa"/>
            <w:vAlign w:val="bottom"/>
          </w:tcPr>
          <w:p>
            <w:pPr>
              <w:jc w:val="right"/>
              <w:ind w:right="392"/>
              <w:spacing w:after="0"/>
              <w:rPr>
                <w:sz w:val="20"/>
                <w:szCs w:val="20"/>
                <w:color w:val="auto"/>
              </w:rPr>
            </w:pPr>
            <w:r>
              <w:rPr>
                <w:rFonts w:ascii="Arial" w:cs="Arial" w:eastAsia="Arial" w:hAnsi="Arial"/>
                <w:sz w:val="18"/>
                <w:szCs w:val="18"/>
                <w:color w:val="auto"/>
              </w:rPr>
              <w:t>(4)</w:t>
            </w:r>
          </w:p>
        </w:tc>
        <w:tc>
          <w:tcPr>
            <w:tcW w:w="1520" w:type="dxa"/>
            <w:vAlign w:val="bottom"/>
          </w:tcPr>
          <w:p>
            <w:pPr>
              <w:jc w:val="right"/>
              <w:ind w:right="332"/>
              <w:spacing w:after="0"/>
              <w:rPr>
                <w:sz w:val="20"/>
                <w:szCs w:val="20"/>
                <w:color w:val="auto"/>
              </w:rPr>
            </w:pPr>
            <w:r>
              <w:rPr>
                <w:rFonts w:ascii="Arial" w:cs="Arial" w:eastAsia="Arial" w:hAnsi="Arial"/>
                <w:sz w:val="18"/>
                <w:szCs w:val="18"/>
                <w:color w:val="auto"/>
              </w:rPr>
              <w:t>(470)</w:t>
            </w:r>
          </w:p>
        </w:tc>
        <w:tc>
          <w:tcPr>
            <w:tcW w:w="1180" w:type="dxa"/>
            <w:vAlign w:val="bottom"/>
          </w:tcPr>
          <w:p>
            <w:pPr>
              <w:jc w:val="right"/>
              <w:spacing w:after="0"/>
              <w:rPr>
                <w:sz w:val="20"/>
                <w:szCs w:val="20"/>
                <w:color w:val="auto"/>
              </w:rPr>
            </w:pPr>
            <w:r>
              <w:rPr>
                <w:rFonts w:ascii="Arial" w:cs="Arial" w:eastAsia="Arial" w:hAnsi="Arial"/>
                <w:sz w:val="18"/>
                <w:szCs w:val="18"/>
                <w:color w:val="auto"/>
              </w:rPr>
              <w:t>(3,079)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liabilities</w:t>
            </w:r>
          </w:p>
        </w:tc>
        <w:tc>
          <w:tcPr>
            <w:tcW w:w="20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(20,508)</w:t>
            </w:r>
          </w:p>
        </w:tc>
        <w:tc>
          <w:tcPr>
            <w:tcW w:w="17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(312)</w:t>
            </w:r>
          </w:p>
        </w:tc>
        <w:tc>
          <w:tcPr>
            <w:tcW w:w="15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(268)</w:t>
            </w:r>
          </w:p>
        </w:tc>
        <w:tc>
          <w:tcPr>
            <w:tcW w:w="1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(88)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Current tax payable</w:t>
            </w:r>
          </w:p>
        </w:tc>
        <w:tc>
          <w:tcPr>
            <w:tcW w:w="204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52"/>
              <w:spacing w:after="0"/>
              <w:rPr>
                <w:sz w:val="20"/>
                <w:szCs w:val="20"/>
                <w:color w:val="auto"/>
              </w:rPr>
            </w:pPr>
            <w:r>
              <w:rPr>
                <w:rFonts w:ascii="Arial" w:cs="Arial" w:eastAsia="Arial" w:hAnsi="Arial"/>
                <w:sz w:val="18"/>
                <w:szCs w:val="18"/>
                <w:color w:val="auto"/>
              </w:rPr>
              <w:t>175</w:t>
            </w:r>
          </w:p>
        </w:tc>
        <w:tc>
          <w:tcPr>
            <w:tcW w:w="1520" w:type="dxa"/>
            <w:vAlign w:val="bottom"/>
          </w:tcPr>
          <w:p>
            <w:pPr>
              <w:jc w:val="right"/>
              <w:ind w:right="392"/>
              <w:spacing w:after="0"/>
              <w:rPr>
                <w:sz w:val="20"/>
                <w:szCs w:val="20"/>
                <w:color w:val="auto"/>
              </w:rPr>
            </w:pPr>
            <w:r>
              <w:rPr>
                <w:rFonts w:ascii="Arial" w:cs="Arial" w:eastAsia="Arial" w:hAnsi="Arial"/>
                <w:sz w:val="18"/>
                <w:szCs w:val="18"/>
                <w:color w:val="auto"/>
              </w:rPr>
              <w:t>106</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Intergroup transactions</w:t>
            </w:r>
          </w:p>
        </w:tc>
        <w:tc>
          <w:tcPr>
            <w:tcW w:w="204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(86,396)</w:t>
            </w:r>
          </w:p>
        </w:tc>
        <w:tc>
          <w:tcPr>
            <w:tcW w:w="17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(13,864)</w:t>
            </w:r>
          </w:p>
        </w:tc>
        <w:tc>
          <w:tcPr>
            <w:tcW w:w="15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905</w:t>
            </w:r>
          </w:p>
        </w:tc>
        <w:tc>
          <w:tcPr>
            <w:tcW w:w="1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(32,973)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(132,328)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Transaction Risk</w:t>
            </w:r>
          </w:p>
        </w:tc>
        <w:tc>
          <w:tcPr>
            <w:tcW w:w="204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(660)</w:t>
            </w:r>
          </w:p>
        </w:tc>
        <w:tc>
          <w:tcPr>
            <w:tcW w:w="17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(12,305)</w:t>
            </w:r>
          </w:p>
        </w:tc>
        <w:tc>
          <w:tcPr>
            <w:tcW w:w="15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5,988</w:t>
            </w:r>
          </w:p>
        </w:tc>
        <w:tc>
          <w:tcPr>
            <w:tcW w:w="1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(33,668)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(40,645)</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i w:val="1"/>
          <w:iCs w:val="1"/>
          <w:color w:val="auto"/>
        </w:rPr>
        <w:t>Foreign exchange gains and losses recognised on the above balances are recorded in “other operating expenses”. The total foreign exchange gain incurred during the year ending 31 December 2012 amounted to $1.2million (2011: $0.4 million loss).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out the Group’s transaction risk in relation to financial assets and liabilities at 31 December 2011: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40" w:type="dxa"/>
            <w:vAlign w:val="bottom"/>
          </w:tcPr>
          <w:p>
            <w:pPr>
              <w:jc w:val="right"/>
              <w:ind w:right="452"/>
              <w:spacing w:after="0"/>
              <w:rPr>
                <w:sz w:val="20"/>
                <w:szCs w:val="20"/>
                <w:color w:val="auto"/>
              </w:rPr>
            </w:pPr>
            <w:r>
              <w:rPr>
                <w:rFonts w:ascii="Arial" w:cs="Arial" w:eastAsia="Arial" w:hAnsi="Arial"/>
                <w:sz w:val="18"/>
                <w:szCs w:val="18"/>
                <w:b w:val="1"/>
                <w:bCs w:val="1"/>
                <w:color w:val="auto"/>
              </w:rPr>
              <w:t>U.S. Dollar</w:t>
            </w:r>
          </w:p>
        </w:tc>
        <w:tc>
          <w:tcPr>
            <w:tcW w:w="1680" w:type="dxa"/>
            <w:vAlign w:val="bottom"/>
          </w:tcPr>
          <w:p>
            <w:pPr>
              <w:jc w:val="right"/>
              <w:ind w:right="512"/>
              <w:spacing w:after="0"/>
              <w:rPr>
                <w:sz w:val="20"/>
                <w:szCs w:val="20"/>
                <w:color w:val="auto"/>
              </w:rPr>
            </w:pPr>
            <w:r>
              <w:rPr>
                <w:rFonts w:ascii="Arial" w:cs="Arial" w:eastAsia="Arial" w:hAnsi="Arial"/>
                <w:sz w:val="18"/>
                <w:szCs w:val="18"/>
                <w:b w:val="1"/>
                <w:bCs w:val="1"/>
                <w:color w:val="auto"/>
              </w:rPr>
              <w:t>Sterling</w:t>
            </w:r>
          </w:p>
        </w:tc>
        <w:tc>
          <w:tcPr>
            <w:tcW w:w="1560" w:type="dxa"/>
            <w:vAlign w:val="bottom"/>
          </w:tcPr>
          <w:p>
            <w:pPr>
              <w:jc w:val="right"/>
              <w:ind w:right="452"/>
              <w:spacing w:after="0"/>
              <w:rPr>
                <w:sz w:val="20"/>
                <w:szCs w:val="20"/>
                <w:color w:val="auto"/>
              </w:rPr>
            </w:pPr>
            <w:r>
              <w:rPr>
                <w:rFonts w:ascii="Arial" w:cs="Arial" w:eastAsia="Arial" w:hAnsi="Arial"/>
                <w:sz w:val="18"/>
                <w:szCs w:val="18"/>
                <w:b w:val="1"/>
                <w:bCs w:val="1"/>
                <w:color w:val="auto"/>
              </w:rPr>
              <w:t>Euro</w:t>
            </w:r>
          </w:p>
        </w:tc>
        <w:tc>
          <w:tcPr>
            <w:tcW w:w="1580" w:type="dxa"/>
            <w:vAlign w:val="bottom"/>
          </w:tcPr>
          <w:p>
            <w:pPr>
              <w:jc w:val="right"/>
              <w:ind w:right="452"/>
              <w:spacing w:after="0"/>
              <w:rPr>
                <w:sz w:val="20"/>
                <w:szCs w:val="20"/>
                <w:color w:val="auto"/>
              </w:rPr>
            </w:pPr>
            <w:r>
              <w:rPr>
                <w:rFonts w:ascii="Arial" w:cs="Arial" w:eastAsia="Arial" w:hAnsi="Arial"/>
                <w:sz w:val="18"/>
                <w:szCs w:val="18"/>
                <w:b w:val="1"/>
                <w:bCs w:val="1"/>
                <w:color w:val="auto"/>
              </w:rPr>
              <w:t>Other</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40" w:type="dxa"/>
            <w:vAlign w:val="bottom"/>
          </w:tcPr>
          <w:p>
            <w:pPr>
              <w:jc w:val="right"/>
              <w:ind w:right="452"/>
              <w:spacing w:after="0"/>
              <w:rPr>
                <w:sz w:val="20"/>
                <w:szCs w:val="20"/>
                <w:color w:val="auto"/>
              </w:rPr>
            </w:pPr>
            <w:r>
              <w:rPr>
                <w:rFonts w:ascii="Arial" w:cs="Arial" w:eastAsia="Arial" w:hAnsi="Arial"/>
                <w:sz w:val="18"/>
                <w:szCs w:val="18"/>
                <w:b w:val="1"/>
                <w:bCs w:val="1"/>
                <w:color w:val="auto"/>
              </w:rPr>
              <w:t>2011</w:t>
            </w:r>
          </w:p>
        </w:tc>
        <w:tc>
          <w:tcPr>
            <w:tcW w:w="1680" w:type="dxa"/>
            <w:vAlign w:val="bottom"/>
          </w:tcPr>
          <w:p>
            <w:pPr>
              <w:jc w:val="right"/>
              <w:ind w:right="512"/>
              <w:spacing w:after="0"/>
              <w:rPr>
                <w:sz w:val="20"/>
                <w:szCs w:val="20"/>
                <w:color w:val="auto"/>
              </w:rPr>
            </w:pPr>
            <w:r>
              <w:rPr>
                <w:rFonts w:ascii="Arial" w:cs="Arial" w:eastAsia="Arial" w:hAnsi="Arial"/>
                <w:sz w:val="18"/>
                <w:szCs w:val="18"/>
                <w:b w:val="1"/>
                <w:bCs w:val="1"/>
                <w:color w:val="auto"/>
              </w:rPr>
              <w:t>2011</w:t>
            </w:r>
          </w:p>
        </w:tc>
        <w:tc>
          <w:tcPr>
            <w:tcW w:w="1560" w:type="dxa"/>
            <w:vAlign w:val="bottom"/>
          </w:tcPr>
          <w:p>
            <w:pPr>
              <w:jc w:val="right"/>
              <w:ind w:right="452"/>
              <w:spacing w:after="0"/>
              <w:rPr>
                <w:sz w:val="20"/>
                <w:szCs w:val="20"/>
                <w:color w:val="auto"/>
              </w:rPr>
            </w:pPr>
            <w:r>
              <w:rPr>
                <w:rFonts w:ascii="Arial" w:cs="Arial" w:eastAsia="Arial" w:hAnsi="Arial"/>
                <w:sz w:val="18"/>
                <w:szCs w:val="18"/>
                <w:b w:val="1"/>
                <w:bCs w:val="1"/>
                <w:color w:val="auto"/>
              </w:rPr>
              <w:t>2011</w:t>
            </w:r>
          </w:p>
        </w:tc>
        <w:tc>
          <w:tcPr>
            <w:tcW w:w="1580" w:type="dxa"/>
            <w:vAlign w:val="bottom"/>
          </w:tcPr>
          <w:p>
            <w:pPr>
              <w:jc w:val="right"/>
              <w:ind w:right="452"/>
              <w:spacing w:after="0"/>
              <w:rPr>
                <w:sz w:val="20"/>
                <w:szCs w:val="20"/>
                <w:color w:val="auto"/>
              </w:rPr>
            </w:pPr>
            <w:r>
              <w:rPr>
                <w:rFonts w:ascii="Arial" w:cs="Arial" w:eastAsia="Arial" w:hAnsi="Arial"/>
                <w:sz w:val="18"/>
                <w:szCs w:val="18"/>
                <w:b w:val="1"/>
                <w:bCs w:val="1"/>
                <w:color w:val="auto"/>
              </w:rPr>
              <w:t>2011</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40" w:type="dxa"/>
            <w:vAlign w:val="bottom"/>
          </w:tcPr>
          <w:p>
            <w:pPr>
              <w:jc w:val="right"/>
              <w:ind w:right="452"/>
              <w:spacing w:after="0"/>
              <w:rPr>
                <w:sz w:val="20"/>
                <w:szCs w:val="20"/>
                <w:color w:val="auto"/>
              </w:rPr>
            </w:pPr>
            <w:r>
              <w:rPr>
                <w:rFonts w:ascii="Arial" w:cs="Arial" w:eastAsia="Arial" w:hAnsi="Arial"/>
                <w:sz w:val="18"/>
                <w:szCs w:val="18"/>
                <w:b w:val="1"/>
                <w:bCs w:val="1"/>
                <w:color w:val="auto"/>
              </w:rPr>
              <w:t>$’000</w:t>
            </w:r>
          </w:p>
        </w:tc>
        <w:tc>
          <w:tcPr>
            <w:tcW w:w="1680" w:type="dxa"/>
            <w:vAlign w:val="bottom"/>
          </w:tcPr>
          <w:p>
            <w:pPr>
              <w:jc w:val="right"/>
              <w:ind w:right="512"/>
              <w:spacing w:after="0"/>
              <w:rPr>
                <w:sz w:val="20"/>
                <w:szCs w:val="20"/>
                <w:color w:val="auto"/>
              </w:rPr>
            </w:pPr>
            <w:r>
              <w:rPr>
                <w:rFonts w:ascii="Arial" w:cs="Arial" w:eastAsia="Arial" w:hAnsi="Arial"/>
                <w:sz w:val="18"/>
                <w:szCs w:val="18"/>
                <w:b w:val="1"/>
                <w:bCs w:val="1"/>
                <w:color w:val="auto"/>
              </w:rPr>
              <w:t>$’000</w:t>
            </w:r>
          </w:p>
        </w:tc>
        <w:tc>
          <w:tcPr>
            <w:tcW w:w="1560" w:type="dxa"/>
            <w:vAlign w:val="bottom"/>
          </w:tcPr>
          <w:p>
            <w:pPr>
              <w:jc w:val="right"/>
              <w:ind w:right="452"/>
              <w:spacing w:after="0"/>
              <w:rPr>
                <w:sz w:val="20"/>
                <w:szCs w:val="20"/>
                <w:color w:val="auto"/>
              </w:rPr>
            </w:pPr>
            <w:r>
              <w:rPr>
                <w:rFonts w:ascii="Arial" w:cs="Arial" w:eastAsia="Arial" w:hAnsi="Arial"/>
                <w:sz w:val="18"/>
                <w:szCs w:val="18"/>
                <w:b w:val="1"/>
                <w:bCs w:val="1"/>
                <w:color w:val="auto"/>
              </w:rPr>
              <w:t>$’000</w:t>
            </w:r>
          </w:p>
        </w:tc>
        <w:tc>
          <w:tcPr>
            <w:tcW w:w="1580" w:type="dxa"/>
            <w:vAlign w:val="bottom"/>
          </w:tcPr>
          <w:p>
            <w:pPr>
              <w:jc w:val="right"/>
              <w:ind w:right="452"/>
              <w:spacing w:after="0"/>
              <w:rPr>
                <w:sz w:val="20"/>
                <w:szCs w:val="20"/>
                <w:color w:val="auto"/>
              </w:rPr>
            </w:pPr>
            <w:r>
              <w:rPr>
                <w:rFonts w:ascii="Arial" w:cs="Arial" w:eastAsia="Arial" w:hAnsi="Arial"/>
                <w:sz w:val="18"/>
                <w:szCs w:val="18"/>
                <w:b w:val="1"/>
                <w:bCs w:val="1"/>
                <w:color w:val="auto"/>
              </w:rPr>
              <w:t>$’000</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29,302</w:t>
            </w:r>
          </w:p>
        </w:tc>
        <w:tc>
          <w:tcPr>
            <w:tcW w:w="16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6,567</w:t>
            </w:r>
          </w:p>
        </w:tc>
        <w:tc>
          <w:tcPr>
            <w:tcW w:w="15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2,767</w:t>
            </w:r>
          </w:p>
        </w:tc>
        <w:tc>
          <w:tcPr>
            <w:tcW w:w="15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2,437</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41,073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Unbilled revenue/payments on account</w:t>
            </w:r>
          </w:p>
        </w:tc>
        <w:tc>
          <w:tcPr>
            <w:tcW w:w="2040" w:type="dxa"/>
            <w:vAlign w:val="bottom"/>
          </w:tcPr>
          <w:p>
            <w:pPr>
              <w:jc w:val="right"/>
              <w:ind w:right="392"/>
              <w:spacing w:after="0"/>
              <w:rPr>
                <w:sz w:val="20"/>
                <w:szCs w:val="20"/>
                <w:color w:val="auto"/>
              </w:rPr>
            </w:pPr>
            <w:r>
              <w:rPr>
                <w:rFonts w:ascii="Arial" w:cs="Arial" w:eastAsia="Arial" w:hAnsi="Arial"/>
                <w:sz w:val="18"/>
                <w:szCs w:val="18"/>
                <w:color w:val="auto"/>
              </w:rPr>
              <w:t>(17,499)</w:t>
            </w:r>
          </w:p>
        </w:tc>
        <w:tc>
          <w:tcPr>
            <w:tcW w:w="1680" w:type="dxa"/>
            <w:vAlign w:val="bottom"/>
          </w:tcPr>
          <w:p>
            <w:pPr>
              <w:jc w:val="right"/>
              <w:ind w:right="452"/>
              <w:spacing w:after="0"/>
              <w:rPr>
                <w:sz w:val="20"/>
                <w:szCs w:val="20"/>
                <w:color w:val="auto"/>
              </w:rPr>
            </w:pPr>
            <w:r>
              <w:rPr>
                <w:rFonts w:ascii="Arial" w:cs="Arial" w:eastAsia="Arial" w:hAnsi="Arial"/>
                <w:sz w:val="18"/>
                <w:szCs w:val="18"/>
                <w:color w:val="auto"/>
              </w:rPr>
              <w:t>(3,479)</w:t>
            </w:r>
          </w:p>
        </w:tc>
        <w:tc>
          <w:tcPr>
            <w:tcW w:w="1560" w:type="dxa"/>
            <w:vAlign w:val="bottom"/>
          </w:tcPr>
          <w:p>
            <w:pPr>
              <w:jc w:val="right"/>
              <w:ind w:right="392"/>
              <w:spacing w:after="0"/>
              <w:rPr>
                <w:sz w:val="20"/>
                <w:szCs w:val="20"/>
                <w:color w:val="auto"/>
              </w:rPr>
            </w:pPr>
            <w:r>
              <w:rPr>
                <w:rFonts w:ascii="Arial" w:cs="Arial" w:eastAsia="Arial" w:hAnsi="Arial"/>
                <w:sz w:val="18"/>
                <w:szCs w:val="18"/>
                <w:color w:val="auto"/>
              </w:rPr>
              <w:t>(2,760)</w:t>
            </w:r>
          </w:p>
        </w:tc>
        <w:tc>
          <w:tcPr>
            <w:tcW w:w="1580" w:type="dxa"/>
            <w:vAlign w:val="bottom"/>
          </w:tcPr>
          <w:p>
            <w:pPr>
              <w:jc w:val="right"/>
              <w:ind w:right="452"/>
              <w:spacing w:after="0"/>
              <w:rPr>
                <w:sz w:val="20"/>
                <w:szCs w:val="20"/>
                <w:color w:val="auto"/>
              </w:rPr>
            </w:pPr>
            <w:r>
              <w:rPr>
                <w:rFonts w:ascii="Arial" w:cs="Arial" w:eastAsia="Arial" w:hAnsi="Arial"/>
                <w:sz w:val="18"/>
                <w:szCs w:val="18"/>
                <w:color w:val="auto"/>
              </w:rPr>
              <w:t>706</w:t>
            </w:r>
          </w:p>
        </w:tc>
        <w:tc>
          <w:tcPr>
            <w:tcW w:w="1120" w:type="dxa"/>
            <w:vAlign w:val="bottom"/>
          </w:tcPr>
          <w:p>
            <w:pPr>
              <w:jc w:val="right"/>
              <w:spacing w:after="0"/>
              <w:rPr>
                <w:sz w:val="20"/>
                <w:szCs w:val="20"/>
                <w:color w:val="auto"/>
              </w:rPr>
            </w:pPr>
            <w:r>
              <w:rPr>
                <w:rFonts w:ascii="Arial" w:cs="Arial" w:eastAsia="Arial" w:hAnsi="Arial"/>
                <w:sz w:val="18"/>
                <w:szCs w:val="18"/>
                <w:color w:val="auto"/>
              </w:rPr>
              <w:t>(23,032)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69,226</w:t>
            </w:r>
          </w:p>
        </w:tc>
        <w:tc>
          <w:tcPr>
            <w:tcW w:w="16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1,752</w:t>
            </w:r>
          </w:p>
        </w:tc>
        <w:tc>
          <w:tcPr>
            <w:tcW w:w="15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743</w:t>
            </w:r>
          </w:p>
        </w:tc>
        <w:tc>
          <w:tcPr>
            <w:tcW w:w="15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239</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71,960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Other current assets</w:t>
            </w:r>
          </w:p>
        </w:tc>
        <w:tc>
          <w:tcPr>
            <w:tcW w:w="2040" w:type="dxa"/>
            <w:vAlign w:val="bottom"/>
          </w:tcPr>
          <w:p>
            <w:pPr>
              <w:jc w:val="right"/>
              <w:ind w:right="452"/>
              <w:spacing w:after="0"/>
              <w:rPr>
                <w:sz w:val="20"/>
                <w:szCs w:val="20"/>
                <w:color w:val="auto"/>
              </w:rPr>
            </w:pPr>
            <w:r>
              <w:rPr>
                <w:rFonts w:ascii="Arial" w:cs="Arial" w:eastAsia="Arial" w:hAnsi="Arial"/>
                <w:sz w:val="18"/>
                <w:szCs w:val="18"/>
                <w:color w:val="auto"/>
              </w:rPr>
              <w:t>800</w:t>
            </w:r>
          </w:p>
        </w:tc>
        <w:tc>
          <w:tcPr>
            <w:tcW w:w="1680" w:type="dxa"/>
            <w:vAlign w:val="bottom"/>
          </w:tcPr>
          <w:p>
            <w:pPr>
              <w:jc w:val="right"/>
              <w:ind w:right="512"/>
              <w:spacing w:after="0"/>
              <w:rPr>
                <w:sz w:val="20"/>
                <w:szCs w:val="20"/>
                <w:color w:val="auto"/>
              </w:rPr>
            </w:pPr>
            <w:r>
              <w:rPr>
                <w:rFonts w:ascii="Arial" w:cs="Arial" w:eastAsia="Arial" w:hAnsi="Arial"/>
                <w:sz w:val="18"/>
                <w:szCs w:val="18"/>
                <w:color w:val="auto"/>
              </w:rPr>
              <w:t>214</w:t>
            </w:r>
          </w:p>
        </w:tc>
        <w:tc>
          <w:tcPr>
            <w:tcW w:w="1560" w:type="dxa"/>
            <w:vAlign w:val="bottom"/>
          </w:tcPr>
          <w:p>
            <w:pPr>
              <w:jc w:val="right"/>
              <w:ind w:right="452"/>
              <w:spacing w:after="0"/>
              <w:rPr>
                <w:sz w:val="20"/>
                <w:szCs w:val="20"/>
                <w:color w:val="auto"/>
              </w:rPr>
            </w:pPr>
            <w:r>
              <w:rPr>
                <w:rFonts w:ascii="Arial" w:cs="Arial" w:eastAsia="Arial" w:hAnsi="Arial"/>
                <w:sz w:val="18"/>
                <w:szCs w:val="18"/>
                <w:color w:val="auto"/>
              </w:rPr>
              <w:t>473</w:t>
            </w:r>
          </w:p>
        </w:tc>
        <w:tc>
          <w:tcPr>
            <w:tcW w:w="1580" w:type="dxa"/>
            <w:vAlign w:val="bottom"/>
          </w:tcPr>
          <w:p>
            <w:pPr>
              <w:jc w:val="right"/>
              <w:ind w:right="452"/>
              <w:spacing w:after="0"/>
              <w:rPr>
                <w:sz w:val="20"/>
                <w:szCs w:val="20"/>
                <w:color w:val="auto"/>
              </w:rPr>
            </w:pPr>
            <w:r>
              <w:rPr>
                <w:rFonts w:ascii="Arial" w:cs="Arial" w:eastAsia="Arial" w:hAnsi="Arial"/>
                <w:sz w:val="18"/>
                <w:szCs w:val="18"/>
                <w:color w:val="auto"/>
              </w:rPr>
              <w:t>278</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90</w:t>
            </w:r>
          </w:p>
        </w:tc>
        <w:tc>
          <w:tcPr>
            <w:tcW w:w="16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472</w:t>
            </w:r>
          </w:p>
        </w:tc>
        <w:tc>
          <w:tcPr>
            <w:tcW w:w="15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44</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Accounts payable</w:t>
            </w:r>
          </w:p>
        </w:tc>
        <w:tc>
          <w:tcPr>
            <w:tcW w:w="2040" w:type="dxa"/>
            <w:vAlign w:val="bottom"/>
          </w:tcPr>
          <w:p>
            <w:pPr>
              <w:jc w:val="right"/>
              <w:ind w:right="452"/>
              <w:spacing w:after="0"/>
              <w:rPr>
                <w:sz w:val="20"/>
                <w:szCs w:val="20"/>
                <w:color w:val="auto"/>
              </w:rPr>
            </w:pPr>
            <w:r>
              <w:rPr>
                <w:rFonts w:ascii="Arial" w:cs="Arial" w:eastAsia="Arial" w:hAnsi="Arial"/>
                <w:sz w:val="18"/>
                <w:szCs w:val="18"/>
                <w:color w:val="auto"/>
              </w:rPr>
              <w:t>1</w:t>
            </w:r>
          </w:p>
        </w:tc>
        <w:tc>
          <w:tcPr>
            <w:tcW w:w="1680" w:type="dxa"/>
            <w:vAlign w:val="bottom"/>
          </w:tcPr>
          <w:p>
            <w:pPr>
              <w:jc w:val="right"/>
              <w:ind w:right="452"/>
              <w:spacing w:after="0"/>
              <w:rPr>
                <w:sz w:val="20"/>
                <w:szCs w:val="20"/>
                <w:color w:val="auto"/>
              </w:rPr>
            </w:pPr>
            <w:r>
              <w:rPr>
                <w:rFonts w:ascii="Arial" w:cs="Arial" w:eastAsia="Arial" w:hAnsi="Arial"/>
                <w:sz w:val="18"/>
                <w:szCs w:val="18"/>
                <w:color w:val="auto"/>
              </w:rPr>
              <w:t>(345)</w:t>
            </w:r>
          </w:p>
        </w:tc>
        <w:tc>
          <w:tcPr>
            <w:tcW w:w="1560" w:type="dxa"/>
            <w:vAlign w:val="bottom"/>
          </w:tcPr>
          <w:p>
            <w:pPr>
              <w:jc w:val="right"/>
              <w:ind w:right="392"/>
              <w:spacing w:after="0"/>
              <w:rPr>
                <w:sz w:val="20"/>
                <w:szCs w:val="20"/>
                <w:color w:val="auto"/>
              </w:rPr>
            </w:pPr>
            <w:r>
              <w:rPr>
                <w:rFonts w:ascii="Arial" w:cs="Arial" w:eastAsia="Arial" w:hAnsi="Arial"/>
                <w:sz w:val="18"/>
                <w:szCs w:val="18"/>
                <w:color w:val="auto"/>
              </w:rPr>
              <w:t>(194)</w:t>
            </w:r>
          </w:p>
        </w:tc>
        <w:tc>
          <w:tcPr>
            <w:tcW w:w="1580" w:type="dxa"/>
            <w:vAlign w:val="bottom"/>
          </w:tcPr>
          <w:p>
            <w:pPr>
              <w:jc w:val="right"/>
              <w:ind w:right="392"/>
              <w:spacing w:after="0"/>
              <w:rPr>
                <w:sz w:val="20"/>
                <w:szCs w:val="20"/>
                <w:color w:val="auto"/>
              </w:rPr>
            </w:pPr>
            <w:r>
              <w:rPr>
                <w:rFonts w:ascii="Arial" w:cs="Arial" w:eastAsia="Arial" w:hAnsi="Arial"/>
                <w:sz w:val="18"/>
                <w:szCs w:val="18"/>
                <w:color w:val="auto"/>
              </w:rPr>
              <w:t>(119)</w:t>
            </w:r>
          </w:p>
        </w:tc>
        <w:tc>
          <w:tcPr>
            <w:tcW w:w="1120" w:type="dxa"/>
            <w:vAlign w:val="bottom"/>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liabilities</w:t>
            </w:r>
          </w:p>
        </w:tc>
        <w:tc>
          <w:tcPr>
            <w:tcW w:w="20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(17,645)</w:t>
            </w:r>
          </w:p>
        </w:tc>
        <w:tc>
          <w:tcPr>
            <w:tcW w:w="16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(650)</w:t>
            </w:r>
          </w:p>
        </w:tc>
        <w:tc>
          <w:tcPr>
            <w:tcW w:w="15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131</w:t>
            </w:r>
          </w:p>
        </w:tc>
        <w:tc>
          <w:tcPr>
            <w:tcW w:w="1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(159)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Current tax payable</w:t>
            </w:r>
          </w:p>
        </w:tc>
        <w:tc>
          <w:tcPr>
            <w:tcW w:w="204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52"/>
              <w:spacing w:after="0"/>
              <w:rPr>
                <w:sz w:val="20"/>
                <w:szCs w:val="20"/>
                <w:color w:val="auto"/>
              </w:rPr>
            </w:pPr>
            <w:r>
              <w:rPr>
                <w:rFonts w:ascii="Arial" w:cs="Arial" w:eastAsia="Arial" w:hAnsi="Arial"/>
                <w:sz w:val="18"/>
                <w:szCs w:val="18"/>
                <w:color w:val="auto"/>
              </w:rPr>
              <w:t>130</w:t>
            </w:r>
          </w:p>
        </w:tc>
        <w:tc>
          <w:tcPr>
            <w:tcW w:w="1580" w:type="dxa"/>
            <w:vAlign w:val="bottom"/>
          </w:tcPr>
          <w:p>
            <w:pPr>
              <w:jc w:val="right"/>
              <w:ind w:right="452"/>
              <w:spacing w:after="0"/>
              <w:rPr>
                <w:sz w:val="20"/>
                <w:szCs w:val="20"/>
                <w:color w:val="auto"/>
              </w:rPr>
            </w:pPr>
            <w:r>
              <w:rPr>
                <w:rFonts w:ascii="Arial" w:cs="Arial" w:eastAsia="Arial" w:hAnsi="Arial"/>
                <w:sz w:val="18"/>
                <w:szCs w:val="18"/>
                <w:color w:val="auto"/>
              </w:rPr>
              <w:t>4</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Intergroup transactions</w:t>
            </w:r>
          </w:p>
        </w:tc>
        <w:tc>
          <w:tcPr>
            <w:tcW w:w="204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(53,954)</w:t>
            </w:r>
          </w:p>
        </w:tc>
        <w:tc>
          <w:tcPr>
            <w:tcW w:w="168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(11,388)</w:t>
            </w:r>
          </w:p>
        </w:tc>
        <w:tc>
          <w:tcPr>
            <w:tcW w:w="15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(5,078)</w:t>
            </w:r>
          </w:p>
        </w:tc>
        <w:tc>
          <w:tcPr>
            <w:tcW w:w="1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(24,403)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(94,823)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Transaction Risk</w:t>
            </w:r>
          </w:p>
        </w:tc>
        <w:tc>
          <w:tcPr>
            <w:tcW w:w="20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10,321</w:t>
            </w:r>
          </w:p>
        </w:tc>
        <w:tc>
          <w:tcPr>
            <w:tcW w:w="168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(7,329)</w:t>
            </w:r>
          </w:p>
        </w:tc>
        <w:tc>
          <w:tcPr>
            <w:tcW w:w="15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(3,316)</w:t>
            </w:r>
          </w:p>
        </w:tc>
        <w:tc>
          <w:tcPr>
            <w:tcW w:w="1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(20,973)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(21,297)</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i w:val="1"/>
          <w:iCs w:val="1"/>
          <w:color w:val="auto"/>
        </w:rPr>
        <w:t>Foreign exchange gains and losses recognised on the above balances are recorded in “other operating expenses”. The total foreign exchange loss incurred during the year ending 31 December 2011 amounted to $0.4million (2010: $3.7 million loss).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25. Financial Instruments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p>
        </w:tc>
        <w:tc>
          <w:tcPr>
            <w:tcW w:w="8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4900" w:type="dxa"/>
            <w:vAlign w:val="bottom"/>
            <w:gridSpan w:val="2"/>
          </w:tcPr>
          <w:p>
            <w:pPr>
              <w:spacing w:after="0"/>
              <w:rPr>
                <w:sz w:val="20"/>
                <w:szCs w:val="20"/>
                <w:color w:val="auto"/>
              </w:rPr>
            </w:pPr>
            <w:r>
              <w:rPr>
                <w:rFonts w:ascii="Arial" w:cs="Arial" w:eastAsia="Arial" w:hAnsi="Arial"/>
                <w:sz w:val="18"/>
                <w:szCs w:val="18"/>
                <w:color w:val="auto"/>
                <w:w w:val="95"/>
              </w:rPr>
              <w:t>The following significant exchange rates applied during the year:</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b w:val="1"/>
                <w:bCs w:val="1"/>
                <w:color w:val="auto"/>
              </w:rPr>
              <w:t>Average Rate</w:t>
            </w:r>
          </w:p>
        </w:tc>
        <w:tc>
          <w:tcPr>
            <w:tcW w:w="1160" w:type="dxa"/>
            <w:vAlign w:val="bottom"/>
          </w:tcPr>
          <w:p>
            <w:pPr>
              <w:spacing w:after="0"/>
              <w:rPr>
                <w:sz w:val="24"/>
                <w:szCs w:val="24"/>
                <w:color w:val="auto"/>
              </w:rPr>
            </w:pPr>
          </w:p>
        </w:tc>
        <w:tc>
          <w:tcPr>
            <w:tcW w:w="2260" w:type="dxa"/>
            <w:vAlign w:val="bottom"/>
          </w:tcPr>
          <w:p>
            <w:pPr>
              <w:ind w:left="60"/>
              <w:spacing w:after="0"/>
              <w:rPr>
                <w:sz w:val="20"/>
                <w:szCs w:val="20"/>
                <w:color w:val="auto"/>
              </w:rPr>
            </w:pPr>
            <w:r>
              <w:rPr>
                <w:rFonts w:ascii="Arial" w:cs="Arial" w:eastAsia="Arial" w:hAnsi="Arial"/>
                <w:sz w:val="18"/>
                <w:szCs w:val="18"/>
                <w:b w:val="1"/>
                <w:bCs w:val="1"/>
                <w:color w:val="auto"/>
              </w:rPr>
              <w:t>Closing Rate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840" w:type="dxa"/>
            <w:vAlign w:val="bottom"/>
          </w:tcPr>
          <w:p>
            <w:pPr>
              <w:jc w:val="center"/>
              <w:ind w:left="152"/>
              <w:spacing w:after="0"/>
              <w:rPr>
                <w:sz w:val="20"/>
                <w:szCs w:val="20"/>
                <w:color w:val="auto"/>
              </w:rPr>
            </w:pPr>
            <w:r>
              <w:rPr>
                <w:rFonts w:ascii="Arial" w:cs="Arial" w:eastAsia="Arial" w:hAnsi="Arial"/>
                <w:sz w:val="18"/>
                <w:szCs w:val="18"/>
                <w:b w:val="1"/>
                <w:bCs w:val="1"/>
                <w:color w:val="auto"/>
                <w:w w:val="89"/>
              </w:rPr>
              <w:t>2012</w:t>
            </w:r>
          </w:p>
        </w:tc>
        <w:tc>
          <w:tcPr>
            <w:tcW w:w="2260" w:type="dxa"/>
            <w:vAlign w:val="bottom"/>
          </w:tcPr>
          <w:p>
            <w:pPr>
              <w:jc w:val="center"/>
              <w:ind w:left="472"/>
              <w:spacing w:after="0"/>
              <w:rPr>
                <w:sz w:val="20"/>
                <w:szCs w:val="20"/>
                <w:color w:val="auto"/>
              </w:rPr>
            </w:pPr>
            <w:r>
              <w:rPr>
                <w:rFonts w:ascii="Arial" w:cs="Arial" w:eastAsia="Arial" w:hAnsi="Arial"/>
                <w:sz w:val="18"/>
                <w:szCs w:val="18"/>
                <w:b w:val="1"/>
                <w:bCs w:val="1"/>
                <w:color w:val="auto"/>
                <w:w w:val="84"/>
              </w:rPr>
              <w:t>2011</w:t>
            </w:r>
          </w:p>
        </w:tc>
        <w:tc>
          <w:tcPr>
            <w:tcW w:w="1160" w:type="dxa"/>
            <w:vAlign w:val="bottom"/>
          </w:tcPr>
          <w:p>
            <w:pPr>
              <w:jc w:val="center"/>
              <w:ind w:left="472"/>
              <w:spacing w:after="0"/>
              <w:rPr>
                <w:sz w:val="20"/>
                <w:szCs w:val="20"/>
                <w:color w:val="auto"/>
              </w:rPr>
            </w:pPr>
            <w:r>
              <w:rPr>
                <w:rFonts w:ascii="Arial" w:cs="Arial" w:eastAsia="Arial" w:hAnsi="Arial"/>
                <w:sz w:val="18"/>
                <w:szCs w:val="18"/>
                <w:b w:val="1"/>
                <w:bCs w:val="1"/>
                <w:color w:val="auto"/>
                <w:w w:val="89"/>
              </w:rPr>
              <w:t>2012</w:t>
            </w:r>
          </w:p>
        </w:tc>
        <w:tc>
          <w:tcPr>
            <w:tcW w:w="2260" w:type="dxa"/>
            <w:vAlign w:val="bottom"/>
          </w:tcPr>
          <w:p>
            <w:pPr>
              <w:jc w:val="center"/>
              <w:ind w:left="472"/>
              <w:spacing w:after="0"/>
              <w:rPr>
                <w:sz w:val="20"/>
                <w:szCs w:val="20"/>
                <w:color w:val="auto"/>
              </w:rPr>
            </w:pPr>
            <w:r>
              <w:rPr>
                <w:rFonts w:ascii="Arial" w:cs="Arial" w:eastAsia="Arial" w:hAnsi="Arial"/>
                <w:sz w:val="18"/>
                <w:szCs w:val="18"/>
                <w:b w:val="1"/>
                <w:bCs w:val="1"/>
                <w:color w:val="auto"/>
                <w:w w:val="84"/>
              </w:rPr>
              <w:t>2011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Euro</w:t>
            </w:r>
          </w:p>
        </w:tc>
        <w:tc>
          <w:tcPr>
            <w:tcW w:w="840" w:type="dxa"/>
            <w:vAlign w:val="bottom"/>
            <w:tcBorders>
              <w:bottom w:val="single" w:sz="8" w:color="auto"/>
            </w:tcBorders>
            <w:shd w:val="clear" w:color="auto" w:fill="CCEEFF"/>
          </w:tcPr>
          <w:p>
            <w:pPr>
              <w:jc w:val="center"/>
              <w:ind w:left="152"/>
              <w:spacing w:after="0"/>
              <w:rPr>
                <w:sz w:val="20"/>
                <w:szCs w:val="20"/>
                <w:color w:val="auto"/>
              </w:rPr>
            </w:pPr>
            <w:r>
              <w:rPr>
                <w:rFonts w:ascii="Arial" w:cs="Arial" w:eastAsia="Arial" w:hAnsi="Arial"/>
                <w:sz w:val="18"/>
                <w:szCs w:val="18"/>
                <w:b w:val="1"/>
                <w:bCs w:val="1"/>
                <w:color w:val="auto"/>
                <w:w w:val="87"/>
              </w:rPr>
              <w:t>1.2876</w:t>
            </w:r>
          </w:p>
        </w:tc>
        <w:tc>
          <w:tcPr>
            <w:tcW w:w="2260" w:type="dxa"/>
            <w:vAlign w:val="bottom"/>
            <w:tcBorders>
              <w:bottom w:val="single" w:sz="8" w:color="auto"/>
            </w:tcBorders>
            <w:shd w:val="clear" w:color="auto" w:fill="CCEEFF"/>
          </w:tcPr>
          <w:p>
            <w:pPr>
              <w:jc w:val="center"/>
              <w:ind w:left="452"/>
              <w:spacing w:after="0"/>
              <w:rPr>
                <w:sz w:val="20"/>
                <w:szCs w:val="20"/>
                <w:color w:val="auto"/>
              </w:rPr>
            </w:pPr>
            <w:r>
              <w:rPr>
                <w:rFonts w:ascii="Arial" w:cs="Arial" w:eastAsia="Arial" w:hAnsi="Arial"/>
                <w:sz w:val="18"/>
                <w:szCs w:val="18"/>
                <w:color w:val="auto"/>
                <w:w w:val="87"/>
              </w:rPr>
              <w:t>1.3991</w:t>
            </w:r>
          </w:p>
        </w:tc>
        <w:tc>
          <w:tcPr>
            <w:tcW w:w="1160" w:type="dxa"/>
            <w:vAlign w:val="bottom"/>
            <w:tcBorders>
              <w:bottom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b w:val="1"/>
                <w:bCs w:val="1"/>
                <w:color w:val="auto"/>
                <w:w w:val="87"/>
              </w:rPr>
              <w:t>1.3193</w:t>
            </w:r>
          </w:p>
        </w:tc>
        <w:tc>
          <w:tcPr>
            <w:tcW w:w="2260" w:type="dxa"/>
            <w:vAlign w:val="bottom"/>
            <w:tcBorders>
              <w:bottom w:val="single" w:sz="8" w:color="auto"/>
            </w:tcBorders>
            <w:shd w:val="clear" w:color="auto" w:fill="CCEEFF"/>
          </w:tcPr>
          <w:p>
            <w:pPr>
              <w:jc w:val="center"/>
              <w:ind w:left="452"/>
              <w:spacing w:after="0"/>
              <w:rPr>
                <w:sz w:val="20"/>
                <w:szCs w:val="20"/>
                <w:color w:val="auto"/>
              </w:rPr>
            </w:pPr>
            <w:r>
              <w:rPr>
                <w:rFonts w:ascii="Arial" w:cs="Arial" w:eastAsia="Arial" w:hAnsi="Arial"/>
                <w:sz w:val="18"/>
                <w:szCs w:val="18"/>
                <w:color w:val="auto"/>
                <w:w w:val="87"/>
              </w:rPr>
              <w:t>1.2961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Pound Sterling</w:t>
            </w:r>
          </w:p>
        </w:tc>
        <w:tc>
          <w:tcPr>
            <w:tcW w:w="840" w:type="dxa"/>
            <w:vAlign w:val="bottom"/>
            <w:tcBorders>
              <w:bottom w:val="single" w:sz="8" w:color="auto"/>
            </w:tcBorders>
            <w:shd w:val="clear" w:color="auto" w:fill="CCEEFF"/>
          </w:tcPr>
          <w:p>
            <w:pPr>
              <w:jc w:val="center"/>
              <w:ind w:left="152"/>
              <w:spacing w:after="0"/>
              <w:rPr>
                <w:sz w:val="20"/>
                <w:szCs w:val="20"/>
                <w:color w:val="auto"/>
              </w:rPr>
            </w:pPr>
            <w:r>
              <w:rPr>
                <w:rFonts w:ascii="Arial" w:cs="Arial" w:eastAsia="Arial" w:hAnsi="Arial"/>
                <w:sz w:val="18"/>
                <w:szCs w:val="18"/>
                <w:b w:val="1"/>
                <w:bCs w:val="1"/>
                <w:color w:val="auto"/>
                <w:w w:val="87"/>
              </w:rPr>
              <w:t>1.5832</w:t>
            </w:r>
          </w:p>
        </w:tc>
        <w:tc>
          <w:tcPr>
            <w:tcW w:w="2260" w:type="dxa"/>
            <w:vAlign w:val="bottom"/>
            <w:tcBorders>
              <w:bottom w:val="single" w:sz="8" w:color="auto"/>
            </w:tcBorders>
            <w:shd w:val="clear" w:color="auto" w:fill="CCEEFF"/>
          </w:tcPr>
          <w:p>
            <w:pPr>
              <w:jc w:val="center"/>
              <w:ind w:left="452"/>
              <w:spacing w:after="0"/>
              <w:rPr>
                <w:sz w:val="20"/>
                <w:szCs w:val="20"/>
                <w:color w:val="auto"/>
              </w:rPr>
            </w:pPr>
            <w:r>
              <w:rPr>
                <w:rFonts w:ascii="Arial" w:cs="Arial" w:eastAsia="Arial" w:hAnsi="Arial"/>
                <w:sz w:val="18"/>
                <w:szCs w:val="18"/>
                <w:color w:val="auto"/>
                <w:w w:val="87"/>
              </w:rPr>
              <w:t>1.6050</w:t>
            </w:r>
          </w:p>
        </w:tc>
        <w:tc>
          <w:tcPr>
            <w:tcW w:w="1160" w:type="dxa"/>
            <w:vAlign w:val="bottom"/>
            <w:tcBorders>
              <w:bottom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b w:val="1"/>
                <w:bCs w:val="1"/>
                <w:color w:val="auto"/>
                <w:w w:val="87"/>
              </w:rPr>
              <w:t>1.6255</w:t>
            </w:r>
          </w:p>
        </w:tc>
        <w:tc>
          <w:tcPr>
            <w:tcW w:w="2260" w:type="dxa"/>
            <w:vAlign w:val="bottom"/>
            <w:tcBorders>
              <w:bottom w:val="single" w:sz="8" w:color="auto"/>
            </w:tcBorders>
            <w:shd w:val="clear" w:color="auto" w:fill="CCEEFF"/>
          </w:tcPr>
          <w:p>
            <w:pPr>
              <w:jc w:val="center"/>
              <w:ind w:left="452"/>
              <w:spacing w:after="0"/>
              <w:rPr>
                <w:sz w:val="20"/>
                <w:szCs w:val="20"/>
                <w:color w:val="auto"/>
              </w:rPr>
            </w:pPr>
            <w:r>
              <w:rPr>
                <w:rFonts w:ascii="Arial" w:cs="Arial" w:eastAsia="Arial" w:hAnsi="Arial"/>
                <w:sz w:val="18"/>
                <w:szCs w:val="18"/>
                <w:color w:val="auto"/>
                <w:w w:val="87"/>
              </w:rPr>
              <w:t>1.5413</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 simultaneous ten percent strengthening or weakening of the US Dollar, Euro and Sterling against all other currencies (which remained constant) would have increased or decreased profit and equity by $0.63 million (31 December 2011 $0.03 million) as a consequence of the retranslation of foreign currency denominated financial assets and liabilities at those dates.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change in profit and equity is excluding the effect of foreign currency denominated long term loans.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44"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The Group is exposed to interest rate risk in respect of its cash and cash equivalents, current asset investments and amounts drawn under negotiated facilities which are subject to variable rates of interest.</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Group’s treasury function actively manages its available cash resources and invests significant cash balances in various financial instruments to try to ensure optimum returns for the Group’s surplus cash balances. Financial instruments are classified either as cash and cash equivalents or current asset investments depending upon the maturity of the related investment. Funds may be invested in the form of floating rate notes and medium term minimum “A” rated corporate securities. The Group may be subject to interest rate risk in respect of interest rate changes on amounts invested. The Group manages interest rate risk in respect of these balances by monitoring the composition of the Group’s investment portfolio on an ongoing basis having regard to current market interest rates and future trends.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addition to interest rate risk on surplus cash balances invested, the Group may also be subject to interest rate risk on amounts drawn under negotiated facilities which are subject to variable rates of interest. Details of the Group’s negotiated facility is set out in note 22 </w:t>
      </w:r>
      <w:r>
        <w:rPr>
          <w:rFonts w:ascii="Arial" w:cs="Arial" w:eastAsia="Arial" w:hAnsi="Arial"/>
          <w:sz w:val="17"/>
          <w:szCs w:val="17"/>
          <w:i w:val="1"/>
          <w:iCs w:val="1"/>
          <w:color w:val="auto"/>
        </w:rPr>
        <w:t>Bank Credit Lines and Loan Facilities</w:t>
      </w:r>
      <w:r>
        <w:rPr>
          <w:rFonts w:ascii="Arial" w:cs="Arial" w:eastAsia="Arial" w:hAnsi="Arial"/>
          <w:sz w:val="17"/>
          <w:szCs w:val="17"/>
          <w:color w:val="auto"/>
        </w:rPr>
        <w:t>. There were no amounts drawn down under this at 31 December 2012 or at 31 December 2011. The Group manages interest rate risk in respect of amounts under negotiated facilities through ongoing monitoring of actual and forecast cash balances, reviewing existing and future cash requirements of the business and by reviewing existing levels of borrowings having regard to current market interest rates and future trends.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25. Financial Instruments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sensitivity analysis below represents the hypothetical change in our interest income and interest expense based on an immediate 1% movement in market interest rates.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980" w:type="dxa"/>
            <w:vAlign w:val="bottom"/>
          </w:tcPr>
          <w:p>
            <w:pPr>
              <w:jc w:val="right"/>
              <w:ind w:right="152"/>
              <w:spacing w:after="0"/>
              <w:rPr>
                <w:sz w:val="20"/>
                <w:szCs w:val="20"/>
                <w:color w:val="auto"/>
              </w:rPr>
            </w:pPr>
            <w:r>
              <w:rPr>
                <w:rFonts w:ascii="Arial" w:cs="Arial" w:eastAsia="Arial" w:hAnsi="Arial"/>
                <w:sz w:val="18"/>
                <w:szCs w:val="18"/>
                <w:b w:val="1"/>
                <w:bCs w:val="1"/>
                <w:color w:val="auto"/>
              </w:rPr>
              <w:t>Interest Income</w:t>
            </w:r>
          </w:p>
        </w:tc>
        <w:tc>
          <w:tcPr>
            <w:tcW w:w="1200" w:type="dxa"/>
            <w:vAlign w:val="bottom"/>
          </w:tcPr>
          <w:p>
            <w:pPr>
              <w:spacing w:after="0"/>
              <w:rPr>
                <w:sz w:val="18"/>
                <w:szCs w:val="18"/>
                <w:color w:val="auto"/>
              </w:rPr>
            </w:pPr>
          </w:p>
        </w:tc>
        <w:tc>
          <w:tcPr>
            <w:tcW w:w="2020" w:type="dxa"/>
            <w:vAlign w:val="bottom"/>
          </w:tcPr>
          <w:p>
            <w:pPr>
              <w:jc w:val="right"/>
              <w:ind w:right="132"/>
              <w:spacing w:after="0"/>
              <w:rPr>
                <w:sz w:val="20"/>
                <w:szCs w:val="20"/>
                <w:color w:val="auto"/>
              </w:rPr>
            </w:pPr>
            <w:r>
              <w:rPr>
                <w:rFonts w:ascii="Arial" w:cs="Arial" w:eastAsia="Arial" w:hAnsi="Arial"/>
                <w:sz w:val="18"/>
                <w:szCs w:val="18"/>
                <w:b w:val="1"/>
                <w:bCs w:val="1"/>
                <w:color w:val="auto"/>
              </w:rPr>
              <w:t>Interest Expense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980" w:type="dxa"/>
            <w:vAlign w:val="bottom"/>
          </w:tcPr>
          <w:p>
            <w:pPr>
              <w:jc w:val="right"/>
              <w:ind w:right="872"/>
              <w:spacing w:after="0"/>
              <w:rPr>
                <w:sz w:val="20"/>
                <w:szCs w:val="20"/>
                <w:color w:val="auto"/>
              </w:rPr>
            </w:pPr>
            <w:r>
              <w:rPr>
                <w:rFonts w:ascii="Arial" w:cs="Arial" w:eastAsia="Arial" w:hAnsi="Arial"/>
                <w:sz w:val="18"/>
                <w:szCs w:val="18"/>
                <w:b w:val="1"/>
                <w:bCs w:val="1"/>
                <w:color w:val="auto"/>
              </w:rPr>
              <w:t>2012</w:t>
            </w:r>
          </w:p>
        </w:tc>
        <w:tc>
          <w:tcPr>
            <w:tcW w:w="1200" w:type="dxa"/>
            <w:vAlign w:val="bottom"/>
          </w:tcPr>
          <w:p>
            <w:pPr>
              <w:jc w:val="right"/>
              <w:ind w:right="452"/>
              <w:spacing w:after="0"/>
              <w:rPr>
                <w:sz w:val="20"/>
                <w:szCs w:val="20"/>
                <w:color w:val="auto"/>
              </w:rPr>
            </w:pPr>
            <w:r>
              <w:rPr>
                <w:rFonts w:ascii="Arial" w:cs="Arial" w:eastAsia="Arial" w:hAnsi="Arial"/>
                <w:sz w:val="18"/>
                <w:szCs w:val="18"/>
                <w:color w:val="auto"/>
              </w:rPr>
              <w:t>2011</w:t>
            </w:r>
          </w:p>
        </w:tc>
        <w:tc>
          <w:tcPr>
            <w:tcW w:w="2020" w:type="dxa"/>
            <w:vAlign w:val="bottom"/>
          </w:tcPr>
          <w:p>
            <w:pPr>
              <w:jc w:val="right"/>
              <w:ind w:right="852"/>
              <w:spacing w:after="0"/>
              <w:rPr>
                <w:sz w:val="20"/>
                <w:szCs w:val="20"/>
                <w:color w:val="auto"/>
              </w:rPr>
            </w:pPr>
            <w:r>
              <w:rPr>
                <w:rFonts w:ascii="Arial" w:cs="Arial" w:eastAsia="Arial" w:hAnsi="Arial"/>
                <w:sz w:val="18"/>
                <w:szCs w:val="18"/>
                <w:b w:val="1"/>
                <w:bCs w:val="1"/>
                <w:color w:val="auto"/>
              </w:rPr>
              <w:t>2011</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980" w:type="dxa"/>
            <w:vAlign w:val="bottom"/>
          </w:tcPr>
          <w:p>
            <w:pPr>
              <w:jc w:val="right"/>
              <w:ind w:right="872"/>
              <w:spacing w:after="0"/>
              <w:rPr>
                <w:sz w:val="20"/>
                <w:szCs w:val="20"/>
                <w:color w:val="auto"/>
              </w:rPr>
            </w:pPr>
            <w:r>
              <w:rPr>
                <w:rFonts w:ascii="Arial" w:cs="Arial" w:eastAsia="Arial" w:hAnsi="Arial"/>
                <w:sz w:val="18"/>
                <w:szCs w:val="18"/>
                <w:b w:val="1"/>
                <w:bCs w:val="1"/>
                <w:color w:val="auto"/>
              </w:rPr>
              <w:t>$’000</w:t>
            </w:r>
          </w:p>
        </w:tc>
        <w:tc>
          <w:tcPr>
            <w:tcW w:w="1200" w:type="dxa"/>
            <w:vAlign w:val="bottom"/>
          </w:tcPr>
          <w:p>
            <w:pPr>
              <w:jc w:val="right"/>
              <w:ind w:right="452"/>
              <w:spacing w:after="0"/>
              <w:rPr>
                <w:sz w:val="20"/>
                <w:szCs w:val="20"/>
                <w:color w:val="auto"/>
              </w:rPr>
            </w:pPr>
            <w:r>
              <w:rPr>
                <w:rFonts w:ascii="Arial" w:cs="Arial" w:eastAsia="Arial" w:hAnsi="Arial"/>
                <w:sz w:val="18"/>
                <w:szCs w:val="18"/>
                <w:color w:val="auto"/>
              </w:rPr>
              <w:t>$’000</w:t>
            </w:r>
          </w:p>
        </w:tc>
        <w:tc>
          <w:tcPr>
            <w:tcW w:w="2020" w:type="dxa"/>
            <w:vAlign w:val="bottom"/>
          </w:tcPr>
          <w:p>
            <w:pPr>
              <w:jc w:val="right"/>
              <w:ind w:right="852"/>
              <w:spacing w:after="0"/>
              <w:rPr>
                <w:sz w:val="20"/>
                <w:szCs w:val="20"/>
                <w:color w:val="auto"/>
              </w:rPr>
            </w:pPr>
            <w:r>
              <w:rPr>
                <w:rFonts w:ascii="Arial" w:cs="Arial" w:eastAsia="Arial" w:hAnsi="Arial"/>
                <w:sz w:val="18"/>
                <w:szCs w:val="18"/>
                <w:b w:val="1"/>
                <w:bCs w:val="1"/>
                <w:color w:val="auto"/>
              </w:rPr>
              <w:t>$’000</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480" w:type="dxa"/>
            <w:vAlign w:val="bottom"/>
            <w:gridSpan w:val="2"/>
          </w:tcPr>
          <w:p>
            <w:pPr>
              <w:spacing w:after="0"/>
              <w:rPr>
                <w:sz w:val="18"/>
                <w:szCs w:val="18"/>
                <w:color w:val="auto"/>
              </w:rPr>
            </w:pPr>
          </w:p>
        </w:tc>
        <w:tc>
          <w:tcPr>
            <w:tcW w:w="3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As reported</w:t>
            </w:r>
          </w:p>
        </w:tc>
        <w:tc>
          <w:tcPr>
            <w:tcW w:w="398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b w:val="1"/>
                <w:bCs w:val="1"/>
                <w:color w:val="auto"/>
              </w:rPr>
              <w:t>1,151</w:t>
            </w:r>
          </w:p>
        </w:tc>
        <w:tc>
          <w:tcPr>
            <w:tcW w:w="120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1,194</w:t>
            </w:r>
          </w:p>
        </w:tc>
        <w:tc>
          <w:tcPr>
            <w:tcW w:w="202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1%</w:t>
            </w:r>
          </w:p>
        </w:tc>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Increase</w:t>
            </w:r>
          </w:p>
        </w:tc>
        <w:tc>
          <w:tcPr>
            <w:tcW w:w="398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b w:val="1"/>
                <w:bCs w:val="1"/>
                <w:color w:val="auto"/>
              </w:rPr>
              <w:t>2,987</w:t>
            </w:r>
          </w:p>
        </w:tc>
        <w:tc>
          <w:tcPr>
            <w:tcW w:w="120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3,280</w:t>
            </w:r>
          </w:p>
        </w:tc>
        <w:tc>
          <w:tcPr>
            <w:tcW w:w="202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1%</w:t>
            </w:r>
          </w:p>
        </w:tc>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Decrease</w:t>
            </w:r>
          </w:p>
        </w:tc>
        <w:tc>
          <w:tcPr>
            <w:tcW w:w="398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spacing w:after="0" w:line="366" w:lineRule="auto"/>
        <w:rPr>
          <w:sz w:val="20"/>
          <w:szCs w:val="20"/>
          <w:color w:val="auto"/>
        </w:rPr>
      </w:pPr>
      <w:r>
        <w:rPr>
          <w:rFonts w:ascii="Arial" w:cs="Arial" w:eastAsia="Arial" w:hAnsi="Arial"/>
          <w:sz w:val="15"/>
          <w:szCs w:val="15"/>
          <w:i w:val="1"/>
          <w:iCs w:val="1"/>
          <w:color w:val="auto"/>
        </w:rPr>
        <w:t>Interest expense included in note 4 relates to commitment fees on bank overdraft and credit facilities and non-cash finance charges relating to acquisition contingent consideration and therefore is not included in the above sensitivity analysis. The above analysis assumes that all other variables remain constant.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Values</w:t>
      </w:r>
    </w:p>
    <w:p>
      <w:pPr>
        <w:spacing w:after="0" w:line="244" w:lineRule="exact"/>
        <w:rPr>
          <w:sz w:val="20"/>
          <w:szCs w:val="20"/>
          <w:color w:val="auto"/>
        </w:rPr>
      </w:pPr>
    </w:p>
    <w:p>
      <w:pPr>
        <w:ind w:right="20"/>
        <w:spacing w:after="0" w:line="330" w:lineRule="auto"/>
        <w:rPr>
          <w:sz w:val="20"/>
          <w:szCs w:val="20"/>
          <w:color w:val="auto"/>
        </w:rPr>
      </w:pPr>
      <w:r>
        <w:rPr>
          <w:rFonts w:ascii="Arial" w:cs="Arial" w:eastAsia="Arial" w:hAnsi="Arial"/>
          <w:sz w:val="15"/>
          <w:szCs w:val="15"/>
          <w:color w:val="auto"/>
        </w:rPr>
        <w:t>Certain 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376" w:lineRule="exact"/>
        <w:rPr>
          <w:sz w:val="20"/>
          <w:szCs w:val="20"/>
          <w:color w:val="auto"/>
        </w:rPr>
      </w:pPr>
    </w:p>
    <w:p>
      <w:pPr>
        <w:ind w:left="300"/>
        <w:spacing w:after="0"/>
        <w:tabs>
          <w:tab w:leader="none" w:pos="12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based upon unadjusted quoted prices for identical instruments traded in active markets.</w:t>
      </w:r>
    </w:p>
    <w:p>
      <w:pPr>
        <w:spacing w:after="0" w:line="217" w:lineRule="exact"/>
        <w:rPr>
          <w:sz w:val="20"/>
          <w:szCs w:val="20"/>
          <w:color w:val="auto"/>
        </w:rPr>
      </w:pPr>
    </w:p>
    <w:p>
      <w:pPr>
        <w:jc w:val="both"/>
        <w:ind w:left="1260" w:hanging="974"/>
        <w:spacing w:after="0" w:line="255" w:lineRule="auto"/>
        <w:tabs>
          <w:tab w:leader="none" w:pos="12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9" w:lineRule="exact"/>
        <w:rPr>
          <w:sz w:val="20"/>
          <w:szCs w:val="20"/>
          <w:color w:val="auto"/>
        </w:rPr>
      </w:pPr>
    </w:p>
    <w:p>
      <w:pPr>
        <w:ind w:left="1260" w:right="220" w:hanging="974"/>
        <w:spacing w:after="0" w:line="265" w:lineRule="auto"/>
        <w:tabs>
          <w:tab w:leader="none" w:pos="12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are generally unobservable and typically reflect management’s estimates of assumptions that market participants would use in pricing the asset or liability.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25. Financial Instruments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financial assets and liabilities, together with the carrying amounts shown in the Statement of Financial Position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100" w:type="dxa"/>
            <w:vAlign w:val="bottom"/>
          </w:tcPr>
          <w:p>
            <w:pPr>
              <w:jc w:val="right"/>
              <w:ind w:right="272"/>
              <w:spacing w:after="0"/>
              <w:rPr>
                <w:sz w:val="20"/>
                <w:szCs w:val="20"/>
                <w:color w:val="auto"/>
              </w:rPr>
            </w:pPr>
            <w:r>
              <w:rPr>
                <w:rFonts w:ascii="Arial" w:cs="Arial" w:eastAsia="Arial" w:hAnsi="Arial"/>
                <w:sz w:val="18"/>
                <w:szCs w:val="18"/>
                <w:b w:val="1"/>
                <w:bCs w:val="1"/>
                <w:color w:val="auto"/>
              </w:rPr>
              <w:t>31 December</w:t>
            </w:r>
          </w:p>
        </w:tc>
        <w:tc>
          <w:tcPr>
            <w:tcW w:w="1600" w:type="dxa"/>
            <w:vAlign w:val="bottom"/>
          </w:tcPr>
          <w:p>
            <w:pPr>
              <w:jc w:val="right"/>
              <w:ind w:right="252"/>
              <w:spacing w:after="0"/>
              <w:rPr>
                <w:sz w:val="20"/>
                <w:szCs w:val="20"/>
                <w:color w:val="auto"/>
              </w:rPr>
            </w:pPr>
            <w:r>
              <w:rPr>
                <w:rFonts w:ascii="Arial" w:cs="Arial" w:eastAsia="Arial" w:hAnsi="Arial"/>
                <w:sz w:val="18"/>
                <w:szCs w:val="18"/>
                <w:b w:val="1"/>
                <w:bCs w:val="1"/>
                <w:color w:val="auto"/>
              </w:rPr>
              <w:t>31 December</w:t>
            </w:r>
          </w:p>
        </w:tc>
        <w:tc>
          <w:tcPr>
            <w:tcW w:w="1580" w:type="dxa"/>
            <w:vAlign w:val="bottom"/>
          </w:tcPr>
          <w:p>
            <w:pPr>
              <w:jc w:val="right"/>
              <w:ind w:right="272"/>
              <w:spacing w:after="0"/>
              <w:rPr>
                <w:sz w:val="20"/>
                <w:szCs w:val="20"/>
                <w:color w:val="auto"/>
              </w:rPr>
            </w:pPr>
            <w:r>
              <w:rPr>
                <w:rFonts w:ascii="Arial" w:cs="Arial" w:eastAsia="Arial" w:hAnsi="Arial"/>
                <w:sz w:val="18"/>
                <w:szCs w:val="18"/>
                <w:color w:val="auto"/>
              </w:rPr>
              <w:t>31 December</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100" w:type="dxa"/>
            <w:vAlign w:val="bottom"/>
          </w:tcPr>
          <w:p>
            <w:pPr>
              <w:jc w:val="right"/>
              <w:ind w:right="272"/>
              <w:spacing w:after="0"/>
              <w:rPr>
                <w:sz w:val="20"/>
                <w:szCs w:val="20"/>
                <w:color w:val="auto"/>
              </w:rPr>
            </w:pPr>
            <w:r>
              <w:rPr>
                <w:rFonts w:ascii="Arial" w:cs="Arial" w:eastAsia="Arial" w:hAnsi="Arial"/>
                <w:sz w:val="18"/>
                <w:szCs w:val="18"/>
                <w:b w:val="1"/>
                <w:bCs w:val="1"/>
                <w:color w:val="auto"/>
              </w:rPr>
              <w:t>2012</w:t>
            </w:r>
          </w:p>
        </w:tc>
        <w:tc>
          <w:tcPr>
            <w:tcW w:w="1600" w:type="dxa"/>
            <w:vAlign w:val="bottom"/>
          </w:tcPr>
          <w:p>
            <w:pPr>
              <w:jc w:val="right"/>
              <w:ind w:right="252"/>
              <w:spacing w:after="0"/>
              <w:rPr>
                <w:sz w:val="20"/>
                <w:szCs w:val="20"/>
                <w:color w:val="auto"/>
              </w:rPr>
            </w:pPr>
            <w:r>
              <w:rPr>
                <w:rFonts w:ascii="Arial" w:cs="Arial" w:eastAsia="Arial" w:hAnsi="Arial"/>
                <w:sz w:val="18"/>
                <w:szCs w:val="18"/>
                <w:b w:val="1"/>
                <w:bCs w:val="1"/>
                <w:color w:val="auto"/>
              </w:rPr>
              <w:t>2012</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2011</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100" w:type="dxa"/>
            <w:vAlign w:val="bottom"/>
          </w:tcPr>
          <w:p>
            <w:pPr>
              <w:jc w:val="right"/>
              <w:ind w:right="272"/>
              <w:spacing w:after="0"/>
              <w:rPr>
                <w:sz w:val="20"/>
                <w:szCs w:val="20"/>
                <w:color w:val="auto"/>
              </w:rPr>
            </w:pPr>
            <w:r>
              <w:rPr>
                <w:rFonts w:ascii="Arial" w:cs="Arial" w:eastAsia="Arial" w:hAnsi="Arial"/>
                <w:sz w:val="18"/>
                <w:szCs w:val="18"/>
                <w:b w:val="1"/>
                <w:bCs w:val="1"/>
                <w:color w:val="auto"/>
              </w:rPr>
              <w:t>Carrying</w:t>
            </w:r>
          </w:p>
        </w:tc>
        <w:tc>
          <w:tcPr>
            <w:tcW w:w="1600" w:type="dxa"/>
            <w:vAlign w:val="bottom"/>
          </w:tcPr>
          <w:p>
            <w:pPr>
              <w:jc w:val="right"/>
              <w:ind w:right="252"/>
              <w:spacing w:after="0"/>
              <w:rPr>
                <w:sz w:val="20"/>
                <w:szCs w:val="20"/>
                <w:color w:val="auto"/>
              </w:rPr>
            </w:pPr>
            <w:r>
              <w:rPr>
                <w:rFonts w:ascii="Arial" w:cs="Arial" w:eastAsia="Arial" w:hAnsi="Arial"/>
                <w:sz w:val="18"/>
                <w:szCs w:val="18"/>
                <w:b w:val="1"/>
                <w:bCs w:val="1"/>
                <w:color w:val="auto"/>
              </w:rPr>
              <w:t>Fair</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Carrying</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100" w:type="dxa"/>
            <w:vAlign w:val="bottom"/>
          </w:tcPr>
          <w:p>
            <w:pPr>
              <w:jc w:val="right"/>
              <w:ind w:right="272"/>
              <w:spacing w:after="0"/>
              <w:rPr>
                <w:sz w:val="20"/>
                <w:szCs w:val="20"/>
                <w:color w:val="auto"/>
              </w:rPr>
            </w:pPr>
            <w:r>
              <w:rPr>
                <w:rFonts w:ascii="Arial" w:cs="Arial" w:eastAsia="Arial" w:hAnsi="Arial"/>
                <w:sz w:val="18"/>
                <w:szCs w:val="18"/>
                <w:b w:val="1"/>
                <w:bCs w:val="1"/>
                <w:color w:val="auto"/>
              </w:rPr>
              <w:t>Amount</w:t>
            </w:r>
          </w:p>
        </w:tc>
        <w:tc>
          <w:tcPr>
            <w:tcW w:w="1600" w:type="dxa"/>
            <w:vAlign w:val="bottom"/>
          </w:tcPr>
          <w:p>
            <w:pPr>
              <w:jc w:val="right"/>
              <w:ind w:right="252"/>
              <w:spacing w:after="0"/>
              <w:rPr>
                <w:sz w:val="20"/>
                <w:szCs w:val="20"/>
                <w:color w:val="auto"/>
              </w:rPr>
            </w:pPr>
            <w:r>
              <w:rPr>
                <w:rFonts w:ascii="Arial" w:cs="Arial" w:eastAsia="Arial" w:hAnsi="Arial"/>
                <w:sz w:val="18"/>
                <w:szCs w:val="18"/>
                <w:b w:val="1"/>
                <w:bCs w:val="1"/>
                <w:color w:val="auto"/>
              </w:rPr>
              <w:t>Value</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Amount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29"/>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Assets</w:t>
            </w:r>
          </w:p>
        </w:tc>
        <w:tc>
          <w:tcPr>
            <w:tcW w:w="3100" w:type="dxa"/>
            <w:vAlign w:val="bottom"/>
          </w:tcPr>
          <w:p>
            <w:pPr>
              <w:jc w:val="right"/>
              <w:ind w:right="272"/>
              <w:spacing w:after="0"/>
              <w:rPr>
                <w:sz w:val="20"/>
                <w:szCs w:val="20"/>
                <w:color w:val="auto"/>
              </w:rPr>
            </w:pPr>
            <w:r>
              <w:rPr>
                <w:rFonts w:ascii="Arial" w:cs="Arial" w:eastAsia="Arial" w:hAnsi="Arial"/>
                <w:sz w:val="18"/>
                <w:szCs w:val="18"/>
                <w:b w:val="1"/>
                <w:bCs w:val="1"/>
                <w:color w:val="auto"/>
              </w:rPr>
              <w:t>$’000</w:t>
            </w:r>
          </w:p>
        </w:tc>
        <w:tc>
          <w:tcPr>
            <w:tcW w:w="1600" w:type="dxa"/>
            <w:vAlign w:val="bottom"/>
          </w:tcPr>
          <w:p>
            <w:pPr>
              <w:jc w:val="right"/>
              <w:ind w:right="252"/>
              <w:spacing w:after="0"/>
              <w:rPr>
                <w:sz w:val="20"/>
                <w:szCs w:val="20"/>
                <w:color w:val="auto"/>
              </w:rPr>
            </w:pPr>
            <w:r>
              <w:rPr>
                <w:rFonts w:ascii="Arial" w:cs="Arial" w:eastAsia="Arial" w:hAnsi="Arial"/>
                <w:sz w:val="18"/>
                <w:szCs w:val="18"/>
                <w:b w:val="1"/>
                <w:bCs w:val="1"/>
                <w:color w:val="auto"/>
              </w:rPr>
              <w:t>$’000</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$’000</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2"/>
        </w:trPr>
        <w:tc>
          <w:tcPr>
            <w:tcW w:w="3780" w:type="dxa"/>
            <w:vAlign w:val="bottom"/>
            <w:gridSpan w:val="2"/>
            <w:vMerge w:val="continue"/>
          </w:tcPr>
          <w:p>
            <w:pPr>
              <w:spacing w:after="0"/>
              <w:rPr>
                <w:sz w:val="18"/>
                <w:szCs w:val="18"/>
                <w:color w:val="auto"/>
              </w:rPr>
            </w:pPr>
          </w:p>
        </w:tc>
        <w:tc>
          <w:tcPr>
            <w:tcW w:w="3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10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11,352</w:t>
            </w:r>
          </w:p>
        </w:tc>
        <w:tc>
          <w:tcPr>
            <w:tcW w:w="160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11,352</w:t>
            </w:r>
          </w:p>
        </w:tc>
        <w:tc>
          <w:tcPr>
            <w:tcW w:w="15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10,601</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Accounts receivable</w:t>
            </w:r>
          </w:p>
        </w:tc>
        <w:tc>
          <w:tcPr>
            <w:tcW w:w="3100" w:type="dxa"/>
            <w:vAlign w:val="bottom"/>
          </w:tcPr>
          <w:p>
            <w:pPr>
              <w:jc w:val="right"/>
              <w:ind w:right="272"/>
              <w:spacing w:after="0"/>
              <w:rPr>
                <w:sz w:val="20"/>
                <w:szCs w:val="20"/>
                <w:color w:val="auto"/>
              </w:rPr>
            </w:pPr>
            <w:r>
              <w:rPr>
                <w:rFonts w:ascii="Arial" w:cs="Arial" w:eastAsia="Arial" w:hAnsi="Arial"/>
                <w:sz w:val="18"/>
                <w:szCs w:val="18"/>
                <w:b w:val="1"/>
                <w:bCs w:val="1"/>
                <w:color w:val="auto"/>
              </w:rPr>
              <w:t>285,419</w:t>
            </w:r>
          </w:p>
        </w:tc>
        <w:tc>
          <w:tcPr>
            <w:tcW w:w="1600" w:type="dxa"/>
            <w:vAlign w:val="bottom"/>
          </w:tcPr>
          <w:p>
            <w:pPr>
              <w:jc w:val="right"/>
              <w:ind w:right="252"/>
              <w:spacing w:after="0"/>
              <w:rPr>
                <w:sz w:val="20"/>
                <w:szCs w:val="20"/>
                <w:color w:val="auto"/>
              </w:rPr>
            </w:pPr>
            <w:r>
              <w:rPr>
                <w:rFonts w:ascii="Arial" w:cs="Arial" w:eastAsia="Arial" w:hAnsi="Arial"/>
                <w:sz w:val="18"/>
                <w:szCs w:val="18"/>
                <w:b w:val="1"/>
                <w:bCs w:val="1"/>
                <w:color w:val="auto"/>
              </w:rPr>
              <w:t>285,419</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201,338</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201,338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310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112,483</w:t>
            </w:r>
          </w:p>
        </w:tc>
        <w:tc>
          <w:tcPr>
            <w:tcW w:w="160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112,483</w:t>
            </w:r>
          </w:p>
        </w:tc>
        <w:tc>
          <w:tcPr>
            <w:tcW w:w="15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126,850</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126,850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current assets</w:t>
            </w:r>
          </w:p>
        </w:tc>
        <w:tc>
          <w:tcPr>
            <w:tcW w:w="3100" w:type="dxa"/>
            <w:vAlign w:val="bottom"/>
          </w:tcPr>
          <w:p>
            <w:pPr>
              <w:jc w:val="right"/>
              <w:ind w:right="272"/>
              <w:spacing w:after="0"/>
              <w:rPr>
                <w:sz w:val="20"/>
                <w:szCs w:val="20"/>
                <w:color w:val="auto"/>
              </w:rPr>
            </w:pPr>
            <w:r>
              <w:rPr>
                <w:rFonts w:ascii="Arial" w:cs="Arial" w:eastAsia="Arial" w:hAnsi="Arial"/>
                <w:sz w:val="18"/>
                <w:szCs w:val="18"/>
                <w:b w:val="1"/>
                <w:bCs w:val="1"/>
                <w:color w:val="auto"/>
              </w:rPr>
              <w:t>27,812</w:t>
            </w:r>
          </w:p>
        </w:tc>
        <w:tc>
          <w:tcPr>
            <w:tcW w:w="1600" w:type="dxa"/>
            <w:vAlign w:val="bottom"/>
          </w:tcPr>
          <w:p>
            <w:pPr>
              <w:jc w:val="right"/>
              <w:ind w:right="252"/>
              <w:spacing w:after="0"/>
              <w:rPr>
                <w:sz w:val="20"/>
                <w:szCs w:val="20"/>
                <w:color w:val="auto"/>
              </w:rPr>
            </w:pPr>
            <w:r>
              <w:rPr>
                <w:rFonts w:ascii="Arial" w:cs="Arial" w:eastAsia="Arial" w:hAnsi="Arial"/>
                <w:sz w:val="18"/>
                <w:szCs w:val="18"/>
                <w:b w:val="1"/>
                <w:bCs w:val="1"/>
                <w:color w:val="auto"/>
              </w:rPr>
              <w:t>27,812</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26,409</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26,409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Current asset investments</w:t>
            </w:r>
          </w:p>
        </w:tc>
        <w:tc>
          <w:tcPr>
            <w:tcW w:w="310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76,183</w:t>
            </w:r>
          </w:p>
        </w:tc>
        <w:tc>
          <w:tcPr>
            <w:tcW w:w="160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76,183</w:t>
            </w:r>
          </w:p>
        </w:tc>
        <w:tc>
          <w:tcPr>
            <w:tcW w:w="15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54,940</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54,940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31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114,047</w:t>
            </w:r>
          </w:p>
        </w:tc>
        <w:tc>
          <w:tcPr>
            <w:tcW w:w="16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114,047</w:t>
            </w:r>
          </w:p>
        </w:tc>
        <w:tc>
          <w:tcPr>
            <w:tcW w:w="15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119,237</w:t>
            </w: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119,237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627,296</w:t>
            </w:r>
          </w:p>
        </w:tc>
        <w:tc>
          <w:tcPr>
            <w:tcW w:w="16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627,296</w:t>
            </w:r>
          </w:p>
        </w:tc>
        <w:tc>
          <w:tcPr>
            <w:tcW w:w="15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539,375</w:t>
            </w: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539,375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3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1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(9,591)</w:t>
            </w:r>
          </w:p>
        </w:tc>
        <w:tc>
          <w:tcPr>
            <w:tcW w:w="16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(9,591)</w:t>
            </w:r>
          </w:p>
        </w:tc>
        <w:tc>
          <w:tcPr>
            <w:tcW w:w="1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(3,232)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Non-current provisions</w:t>
            </w:r>
          </w:p>
        </w:tc>
        <w:tc>
          <w:tcPr>
            <w:tcW w:w="310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160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(11,903)</w:t>
            </w:r>
          </w:p>
        </w:tc>
        <w:tc>
          <w:tcPr>
            <w:tcW w:w="1360" w:type="dxa"/>
            <w:vAlign w:val="bottom"/>
          </w:tcPr>
          <w:p>
            <w:pPr>
              <w:jc w:val="right"/>
              <w:spacing w:after="0"/>
              <w:rPr>
                <w:sz w:val="20"/>
                <w:szCs w:val="20"/>
                <w:color w:val="auto"/>
              </w:rPr>
            </w:pPr>
            <w:r>
              <w:rPr>
                <w:rFonts w:ascii="Arial" w:cs="Arial" w:eastAsia="Arial" w:hAnsi="Arial"/>
                <w:sz w:val="18"/>
                <w:szCs w:val="18"/>
                <w:color w:val="auto"/>
              </w:rPr>
              <w:t>(12,603)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1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(8,149)</w:t>
            </w:r>
          </w:p>
        </w:tc>
        <w:tc>
          <w:tcPr>
            <w:tcW w:w="16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(8,149)</w:t>
            </w:r>
          </w:p>
        </w:tc>
        <w:tc>
          <w:tcPr>
            <w:tcW w:w="1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(5,340)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Payments on account</w:t>
            </w:r>
          </w:p>
        </w:tc>
        <w:tc>
          <w:tcPr>
            <w:tcW w:w="3100" w:type="dxa"/>
            <w:vAlign w:val="bottom"/>
          </w:tcPr>
          <w:p>
            <w:pPr>
              <w:jc w:val="right"/>
              <w:ind w:right="212"/>
              <w:spacing w:after="0"/>
              <w:rPr>
                <w:sz w:val="20"/>
                <w:szCs w:val="20"/>
                <w:color w:val="auto"/>
              </w:rPr>
            </w:pPr>
            <w:r>
              <w:rPr>
                <w:rFonts w:ascii="Arial" w:cs="Arial" w:eastAsia="Arial" w:hAnsi="Arial"/>
                <w:sz w:val="18"/>
                <w:szCs w:val="18"/>
                <w:b w:val="1"/>
                <w:bCs w:val="1"/>
                <w:color w:val="auto"/>
              </w:rPr>
              <w:t>(219,467)</w:t>
            </w:r>
          </w:p>
        </w:tc>
        <w:tc>
          <w:tcPr>
            <w:tcW w:w="1600" w:type="dxa"/>
            <w:vAlign w:val="bottom"/>
          </w:tcPr>
          <w:p>
            <w:pPr>
              <w:jc w:val="right"/>
              <w:ind w:right="192"/>
              <w:spacing w:after="0"/>
              <w:rPr>
                <w:sz w:val="20"/>
                <w:szCs w:val="20"/>
                <w:color w:val="auto"/>
              </w:rPr>
            </w:pPr>
            <w:r>
              <w:rPr>
                <w:rFonts w:ascii="Arial" w:cs="Arial" w:eastAsia="Arial" w:hAnsi="Arial"/>
                <w:sz w:val="18"/>
                <w:szCs w:val="18"/>
                <w:b w:val="1"/>
                <w:bCs w:val="1"/>
                <w:color w:val="auto"/>
              </w:rPr>
              <w:t>(219,467)</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(150,792)</w:t>
            </w:r>
          </w:p>
        </w:tc>
        <w:tc>
          <w:tcPr>
            <w:tcW w:w="1360" w:type="dxa"/>
            <w:vAlign w:val="bottom"/>
          </w:tcPr>
          <w:p>
            <w:pPr>
              <w:jc w:val="right"/>
              <w:spacing w:after="0"/>
              <w:rPr>
                <w:sz w:val="20"/>
                <w:szCs w:val="20"/>
                <w:color w:val="auto"/>
              </w:rPr>
            </w:pPr>
            <w:r>
              <w:rPr>
                <w:rFonts w:ascii="Arial" w:cs="Arial" w:eastAsia="Arial" w:hAnsi="Arial"/>
                <w:sz w:val="18"/>
                <w:szCs w:val="18"/>
                <w:color w:val="auto"/>
              </w:rPr>
              <w:t>(150,792)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liabilities</w:t>
            </w:r>
          </w:p>
        </w:tc>
        <w:tc>
          <w:tcPr>
            <w:tcW w:w="31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(133,670)</w:t>
            </w:r>
          </w:p>
        </w:tc>
        <w:tc>
          <w:tcPr>
            <w:tcW w:w="16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(133,670)</w:t>
            </w:r>
          </w:p>
        </w:tc>
        <w:tc>
          <w:tcPr>
            <w:tcW w:w="1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(104,399)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(104,399)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Provisions</w:t>
            </w:r>
          </w:p>
        </w:tc>
        <w:tc>
          <w:tcPr>
            <w:tcW w:w="3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(47,190)</w:t>
            </w:r>
          </w:p>
        </w:tc>
        <w:tc>
          <w:tcPr>
            <w:tcW w:w="16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(47,432)</w:t>
            </w:r>
          </w:p>
        </w:tc>
        <w:tc>
          <w:tcPr>
            <w:tcW w:w="1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(41,489)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(418,067)</w:t>
            </w:r>
          </w:p>
        </w:tc>
        <w:tc>
          <w:tcPr>
            <w:tcW w:w="16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(418,309)</w:t>
            </w:r>
          </w:p>
        </w:tc>
        <w:tc>
          <w:tcPr>
            <w:tcW w:w="1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(317,155)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Certain reclassifications have been made to prior year comparatives to be consistent with the current year presentation.</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carrying values of other non-current assets, accounts receivable, less impairment provision, unbilled revenue, other current assets, cash and cash equivalents, other non-current liabilities, non-current provisions (excluding contingent consideration), accounts payable, payments on account, accrued and other liabilities and provisions (excluding contingent consideration), are carried at amortised cost and assumed to be approximate to their fair values due to the short term nature of these balances.</w:t>
      </w:r>
    </w:p>
    <w:p>
      <w:pPr>
        <w:spacing w:after="0" w:line="2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Current asset investments are stated at fair value, with any resultant gain or loss recognised in the statement of comprehensive income. The fair value of current asset investments is their market price at the financial year end date. They are measured on the basis of level 1 inputs.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25. Financial Instruments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Included within non-current provisions and provisions are amounts due in respect of certain performance milestones on recent acquisitions (see note 13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These amounts are payable over periods up to June 2013 and are included in the financial statements at their fair value and are measured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basis of level 3 inputs.</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Lease commitments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Group has several non-cancellable operating leases, primarily for facilities, that expire over the next 12 years. These leases generally contain renewal options and require the Group to pay all executory costs such as maintenance and insurance. Future minimum rental commitments for operating leases with non-cancellable terms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300" w:type="dxa"/>
            <w:vAlign w:val="bottom"/>
          </w:tcPr>
          <w:p>
            <w:pPr>
              <w:jc w:val="right"/>
              <w:ind w:right="232"/>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300" w:type="dxa"/>
            <w:vAlign w:val="bottom"/>
          </w:tcPr>
          <w:p>
            <w:pPr>
              <w:jc w:val="right"/>
              <w:ind w:right="232"/>
              <w:spacing w:after="0"/>
              <w:rPr>
                <w:sz w:val="20"/>
                <w:szCs w:val="20"/>
                <w:color w:val="auto"/>
              </w:rPr>
            </w:pPr>
            <w:r>
              <w:rPr>
                <w:rFonts w:ascii="Arial" w:cs="Arial" w:eastAsia="Arial" w:hAnsi="Arial"/>
                <w:sz w:val="18"/>
                <w:szCs w:val="18"/>
                <w:b w:val="1"/>
                <w:bCs w:val="1"/>
                <w:color w:val="auto"/>
              </w:rPr>
              <w:t>2012</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4300" w:type="dxa"/>
            <w:vAlign w:val="bottom"/>
          </w:tcPr>
          <w:p>
            <w:pPr>
              <w:jc w:val="right"/>
              <w:ind w:right="232"/>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430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40,412</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36,927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Between one and two years</w:t>
            </w:r>
          </w:p>
        </w:tc>
        <w:tc>
          <w:tcPr>
            <w:tcW w:w="4300" w:type="dxa"/>
            <w:vAlign w:val="bottom"/>
          </w:tcPr>
          <w:p>
            <w:pPr>
              <w:jc w:val="right"/>
              <w:ind w:right="232"/>
              <w:spacing w:after="0"/>
              <w:rPr>
                <w:sz w:val="20"/>
                <w:szCs w:val="20"/>
                <w:color w:val="auto"/>
              </w:rPr>
            </w:pPr>
            <w:r>
              <w:rPr>
                <w:rFonts w:ascii="Arial" w:cs="Arial" w:eastAsia="Arial" w:hAnsi="Arial"/>
                <w:sz w:val="18"/>
                <w:szCs w:val="18"/>
                <w:b w:val="1"/>
                <w:bCs w:val="1"/>
                <w:color w:val="auto"/>
              </w:rPr>
              <w:t>31,252</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31,564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Between two and three years</w:t>
            </w:r>
          </w:p>
        </w:tc>
        <w:tc>
          <w:tcPr>
            <w:tcW w:w="430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24,827</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26,582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Between three and four years</w:t>
            </w:r>
          </w:p>
        </w:tc>
        <w:tc>
          <w:tcPr>
            <w:tcW w:w="4300" w:type="dxa"/>
            <w:vAlign w:val="bottom"/>
          </w:tcPr>
          <w:p>
            <w:pPr>
              <w:jc w:val="right"/>
              <w:ind w:right="232"/>
              <w:spacing w:after="0"/>
              <w:rPr>
                <w:sz w:val="20"/>
                <w:szCs w:val="20"/>
                <w:color w:val="auto"/>
              </w:rPr>
            </w:pPr>
            <w:r>
              <w:rPr>
                <w:rFonts w:ascii="Arial" w:cs="Arial" w:eastAsia="Arial" w:hAnsi="Arial"/>
                <w:sz w:val="18"/>
                <w:szCs w:val="18"/>
                <w:b w:val="1"/>
                <w:bCs w:val="1"/>
                <w:color w:val="auto"/>
              </w:rPr>
              <w:t>20,474</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20,088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Between four and five years</w:t>
            </w:r>
          </w:p>
        </w:tc>
        <w:tc>
          <w:tcPr>
            <w:tcW w:w="430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14,694</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16,681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More than five years</w:t>
            </w:r>
          </w:p>
        </w:tc>
        <w:tc>
          <w:tcPr>
            <w:tcW w:w="43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32,267</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26,884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43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163,926</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158,726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27. Commitments and contingencies</w:t>
            </w:r>
          </w:p>
        </w:tc>
        <w:tc>
          <w:tcPr>
            <w:tcW w:w="4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740" w:type="dxa"/>
            <w:vAlign w:val="bottom"/>
            <w:gridSpan w:val="2"/>
          </w:tcPr>
          <w:p>
            <w:pPr>
              <w:spacing w:after="0"/>
              <w:rPr>
                <w:sz w:val="20"/>
                <w:szCs w:val="20"/>
                <w:color w:val="auto"/>
              </w:rPr>
            </w:pPr>
            <w:r>
              <w:rPr>
                <w:rFonts w:ascii="Arial" w:cs="Arial" w:eastAsia="Arial" w:hAnsi="Arial"/>
                <w:sz w:val="18"/>
                <w:szCs w:val="18"/>
                <w:color w:val="auto"/>
              </w:rPr>
              <w:t>(a)   Capital commitments</w:t>
            </w:r>
          </w:p>
        </w:tc>
        <w:tc>
          <w:tcPr>
            <w:tcW w:w="4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capital commitments for the purchase of property, plant and equipment were authorised by the Group at 31 December 2012: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560" w:type="dxa"/>
            <w:vAlign w:val="bottom"/>
          </w:tcPr>
          <w:p>
            <w:pPr>
              <w:jc w:val="right"/>
              <w:ind w:right="232"/>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560" w:type="dxa"/>
            <w:vAlign w:val="bottom"/>
          </w:tcPr>
          <w:p>
            <w:pPr>
              <w:jc w:val="right"/>
              <w:ind w:right="232"/>
              <w:spacing w:after="0"/>
              <w:rPr>
                <w:sz w:val="20"/>
                <w:szCs w:val="20"/>
                <w:color w:val="auto"/>
              </w:rPr>
            </w:pPr>
            <w:r>
              <w:rPr>
                <w:rFonts w:ascii="Arial" w:cs="Arial" w:eastAsia="Arial" w:hAnsi="Arial"/>
                <w:sz w:val="18"/>
                <w:szCs w:val="18"/>
                <w:b w:val="1"/>
                <w:bCs w:val="1"/>
                <w:color w:val="auto"/>
              </w:rPr>
              <w:t>2012</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6560" w:type="dxa"/>
            <w:vAlign w:val="bottom"/>
          </w:tcPr>
          <w:p>
            <w:pPr>
              <w:jc w:val="right"/>
              <w:ind w:right="232"/>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Contracted for</w:t>
            </w:r>
          </w:p>
        </w:tc>
        <w:tc>
          <w:tcPr>
            <w:tcW w:w="656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14,794</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16,655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Not-contracted for</w:t>
            </w:r>
          </w:p>
        </w:tc>
        <w:tc>
          <w:tcPr>
            <w:tcW w:w="65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5,249</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8,982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65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20,043</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6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560" w:type="dxa"/>
            <w:vAlign w:val="bottom"/>
          </w:tcPr>
          <w:p>
            <w:pPr>
              <w:jc w:val="right"/>
              <w:ind w:right="4152"/>
              <w:spacing w:after="0"/>
              <w:rPr>
                <w:sz w:val="20"/>
                <w:szCs w:val="20"/>
                <w:color w:val="auto"/>
              </w:rPr>
            </w:pPr>
            <w:r>
              <w:rPr>
                <w:rFonts w:ascii="Arial" w:cs="Arial" w:eastAsia="Arial" w:hAnsi="Arial"/>
                <w:sz w:val="18"/>
                <w:szCs w:val="18"/>
                <w:color w:val="auto"/>
              </w:rPr>
              <w:t>90</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65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27. Commitments and contingencies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ind w:left="420" w:hanging="414"/>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Where the Group enters into financial guarantee contracts to guarantee the indebtedness of other companies within the Group, the Group considers these to be insurance arrangements and accounts for them as such. The Group treats the guarantee contract as a contingent liability until such time as it becomes probable that the Group will be required to make a payment under that guarantee.</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The Group has guaranteed the liabilities referred to in Section 5 (c) (ii) of the Companies (Amendment) Act, 1986 in respect of the financial year ending 31</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December 2012 for the subsidiary companies listed below. These subsidiaries are availing of the exemption under Section 17 of the Companies (Amendment)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Act, 1986 not to file statutory financial statements.</w:t>
      </w:r>
    </w:p>
    <w:p>
      <w:pPr>
        <w:spacing w:after="0" w:line="206" w:lineRule="exact"/>
        <w:rPr>
          <w:sz w:val="20"/>
          <w:szCs w:val="20"/>
          <w:color w:val="auto"/>
        </w:rPr>
      </w:pPr>
    </w:p>
    <w:p>
      <w:pPr>
        <w:ind w:left="820" w:hanging="439"/>
        <w:spacing w:after="0"/>
        <w:tabs>
          <w:tab w:leader="none" w:pos="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ICON Clinical Research Limited</w:t>
      </w:r>
    </w:p>
    <w:p>
      <w:pPr>
        <w:spacing w:after="0" w:line="16" w:lineRule="exact"/>
        <w:rPr>
          <w:rFonts w:ascii="Arial" w:cs="Arial" w:eastAsia="Arial" w:hAnsi="Arial"/>
          <w:sz w:val="18"/>
          <w:szCs w:val="18"/>
          <w:color w:val="auto"/>
        </w:rPr>
      </w:pPr>
    </w:p>
    <w:p>
      <w:pPr>
        <w:ind w:left="820" w:hanging="439"/>
        <w:spacing w:after="0"/>
        <w:tabs>
          <w:tab w:leader="none" w:pos="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ICON Clinical Research Property Holdings (Ireland) Limited</w:t>
      </w:r>
    </w:p>
    <w:p>
      <w:pPr>
        <w:spacing w:after="0" w:line="5" w:lineRule="exact"/>
        <w:rPr>
          <w:rFonts w:ascii="Arial" w:cs="Arial" w:eastAsia="Arial" w:hAnsi="Arial"/>
          <w:sz w:val="18"/>
          <w:szCs w:val="18"/>
          <w:color w:val="auto"/>
        </w:rPr>
      </w:pPr>
    </w:p>
    <w:p>
      <w:pPr>
        <w:ind w:left="820" w:hanging="439"/>
        <w:spacing w:after="0"/>
        <w:tabs>
          <w:tab w:leader="none" w:pos="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ICON Clinical Research Property Development (Ireland) Limited</w:t>
      </w:r>
    </w:p>
    <w:p>
      <w:pPr>
        <w:spacing w:after="0" w:line="5" w:lineRule="exact"/>
        <w:rPr>
          <w:rFonts w:ascii="Arial" w:cs="Arial" w:eastAsia="Arial" w:hAnsi="Arial"/>
          <w:sz w:val="18"/>
          <w:szCs w:val="18"/>
          <w:color w:val="auto"/>
        </w:rPr>
      </w:pPr>
    </w:p>
    <w:p>
      <w:pPr>
        <w:ind w:left="820" w:hanging="439"/>
        <w:spacing w:after="0"/>
        <w:tabs>
          <w:tab w:leader="none" w:pos="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ICON Clinical Property Holdings Limited</w:t>
      </w:r>
    </w:p>
    <w:p>
      <w:pPr>
        <w:spacing w:after="0" w:line="5" w:lineRule="exact"/>
        <w:rPr>
          <w:rFonts w:ascii="Arial" w:cs="Arial" w:eastAsia="Arial" w:hAnsi="Arial"/>
          <w:sz w:val="18"/>
          <w:szCs w:val="18"/>
          <w:color w:val="auto"/>
        </w:rPr>
      </w:pPr>
    </w:p>
    <w:p>
      <w:pPr>
        <w:ind w:left="820" w:hanging="439"/>
        <w:spacing w:after="0"/>
        <w:tabs>
          <w:tab w:leader="none" w:pos="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ICON Clinical Property Development Limited</w:t>
      </w:r>
    </w:p>
    <w:p>
      <w:pPr>
        <w:spacing w:after="0" w:line="5" w:lineRule="exact"/>
        <w:rPr>
          <w:rFonts w:ascii="Arial" w:cs="Arial" w:eastAsia="Arial" w:hAnsi="Arial"/>
          <w:sz w:val="18"/>
          <w:szCs w:val="18"/>
          <w:color w:val="auto"/>
        </w:rPr>
      </w:pPr>
    </w:p>
    <w:p>
      <w:pPr>
        <w:ind w:left="820" w:hanging="439"/>
        <w:spacing w:after="0"/>
        <w:tabs>
          <w:tab w:leader="none" w:pos="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ICON Holdings Clinical Research International Limited</w:t>
      </w:r>
    </w:p>
    <w:p>
      <w:pPr>
        <w:spacing w:after="0" w:line="5" w:lineRule="exact"/>
        <w:rPr>
          <w:rFonts w:ascii="Arial" w:cs="Arial" w:eastAsia="Arial" w:hAnsi="Arial"/>
          <w:sz w:val="18"/>
          <w:szCs w:val="18"/>
          <w:color w:val="auto"/>
        </w:rPr>
      </w:pPr>
    </w:p>
    <w:p>
      <w:pPr>
        <w:ind w:left="820" w:hanging="439"/>
        <w:spacing w:after="0"/>
        <w:tabs>
          <w:tab w:leader="none" w:pos="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DOCS Resourcing Solutions Limited</w:t>
      </w:r>
    </w:p>
    <w:p>
      <w:pPr>
        <w:spacing w:after="0" w:line="5" w:lineRule="exact"/>
        <w:rPr>
          <w:rFonts w:ascii="Arial" w:cs="Arial" w:eastAsia="Arial" w:hAnsi="Arial"/>
          <w:sz w:val="18"/>
          <w:szCs w:val="18"/>
          <w:color w:val="auto"/>
        </w:rPr>
      </w:pPr>
    </w:p>
    <w:p>
      <w:pPr>
        <w:ind w:left="820" w:hanging="439"/>
        <w:spacing w:after="0"/>
        <w:tabs>
          <w:tab w:leader="none" w:pos="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Firecrest Clinical Limited</w:t>
      </w:r>
    </w:p>
    <w:p>
      <w:pPr>
        <w:spacing w:after="0" w:line="205" w:lineRule="exact"/>
        <w:rPr>
          <w:rFonts w:ascii="Arial" w:cs="Arial" w:eastAsia="Arial" w:hAnsi="Arial"/>
          <w:sz w:val="18"/>
          <w:szCs w:val="18"/>
          <w:color w:val="auto"/>
        </w:rPr>
      </w:pPr>
    </w:p>
    <w:p>
      <w:pPr>
        <w:ind w:left="420" w:hanging="414"/>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Contractual obligations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Group contractual obligations and commercial commitments as at 31 December 2012: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2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Payments due by period</w:t>
            </w: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40" w:type="dxa"/>
            <w:vAlign w:val="bottom"/>
          </w:tcPr>
          <w:p>
            <w:pPr>
              <w:jc w:val="right"/>
              <w:ind w:right="472"/>
              <w:spacing w:after="0"/>
              <w:rPr>
                <w:sz w:val="20"/>
                <w:szCs w:val="20"/>
                <w:color w:val="auto"/>
              </w:rPr>
            </w:pPr>
            <w:r>
              <w:rPr>
                <w:rFonts w:ascii="Arial" w:cs="Arial" w:eastAsia="Arial" w:hAnsi="Arial"/>
                <w:sz w:val="18"/>
                <w:szCs w:val="18"/>
                <w:b w:val="1"/>
                <w:bCs w:val="1"/>
                <w:color w:val="auto"/>
              </w:rPr>
              <w:t>Less than</w:t>
            </w:r>
          </w:p>
        </w:tc>
        <w:tc>
          <w:tcPr>
            <w:tcW w:w="1680" w:type="dxa"/>
            <w:vAlign w:val="bottom"/>
          </w:tcPr>
          <w:p>
            <w:pPr>
              <w:jc w:val="right"/>
              <w:ind w:right="532"/>
              <w:spacing w:after="0"/>
              <w:rPr>
                <w:sz w:val="20"/>
                <w:szCs w:val="20"/>
                <w:color w:val="auto"/>
              </w:rPr>
            </w:pPr>
            <w:r>
              <w:rPr>
                <w:rFonts w:ascii="Arial" w:cs="Arial" w:eastAsia="Arial" w:hAnsi="Arial"/>
                <w:sz w:val="18"/>
                <w:szCs w:val="18"/>
                <w:b w:val="1"/>
                <w:bCs w:val="1"/>
                <w:color w:val="auto"/>
              </w:rPr>
              <w:t>1 to 3</w:t>
            </w:r>
          </w:p>
        </w:tc>
        <w:tc>
          <w:tcPr>
            <w:tcW w:w="1340" w:type="dxa"/>
            <w:vAlign w:val="bottom"/>
          </w:tcPr>
          <w:p>
            <w:pPr>
              <w:jc w:val="right"/>
              <w:ind w:right="292"/>
              <w:spacing w:after="0"/>
              <w:rPr>
                <w:sz w:val="20"/>
                <w:szCs w:val="20"/>
                <w:color w:val="auto"/>
              </w:rPr>
            </w:pPr>
            <w:r>
              <w:rPr>
                <w:rFonts w:ascii="Arial" w:cs="Arial" w:eastAsia="Arial" w:hAnsi="Arial"/>
                <w:sz w:val="18"/>
                <w:szCs w:val="18"/>
                <w:b w:val="1"/>
                <w:bCs w:val="1"/>
                <w:color w:val="auto"/>
              </w:rPr>
              <w:t>3 to 5</w:t>
            </w:r>
          </w:p>
        </w:tc>
        <w:tc>
          <w:tcPr>
            <w:tcW w:w="1280" w:type="dxa"/>
            <w:vAlign w:val="bottom"/>
          </w:tcPr>
          <w:p>
            <w:pPr>
              <w:jc w:val="right"/>
              <w:ind w:right="12"/>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140" w:type="dxa"/>
            <w:vAlign w:val="bottom"/>
          </w:tcPr>
          <w:p>
            <w:pPr>
              <w:jc w:val="right"/>
              <w:ind w:right="352"/>
              <w:spacing w:after="0"/>
              <w:rPr>
                <w:sz w:val="20"/>
                <w:szCs w:val="20"/>
                <w:color w:val="auto"/>
              </w:rPr>
            </w:pPr>
            <w:r>
              <w:rPr>
                <w:rFonts w:ascii="Arial" w:cs="Arial" w:eastAsia="Arial" w:hAnsi="Arial"/>
                <w:sz w:val="18"/>
                <w:szCs w:val="18"/>
                <w:b w:val="1"/>
                <w:bCs w:val="1"/>
                <w:color w:val="auto"/>
              </w:rPr>
              <w:t>Total</w:t>
            </w:r>
          </w:p>
        </w:tc>
        <w:tc>
          <w:tcPr>
            <w:tcW w:w="1740" w:type="dxa"/>
            <w:vAlign w:val="bottom"/>
          </w:tcPr>
          <w:p>
            <w:pPr>
              <w:jc w:val="right"/>
              <w:ind w:right="472"/>
              <w:spacing w:after="0"/>
              <w:rPr>
                <w:sz w:val="20"/>
                <w:szCs w:val="20"/>
                <w:color w:val="auto"/>
              </w:rPr>
            </w:pPr>
            <w:r>
              <w:rPr>
                <w:rFonts w:ascii="Arial" w:cs="Arial" w:eastAsia="Arial" w:hAnsi="Arial"/>
                <w:sz w:val="18"/>
                <w:szCs w:val="18"/>
                <w:b w:val="1"/>
                <w:bCs w:val="1"/>
                <w:color w:val="auto"/>
              </w:rPr>
              <w:t>1 year</w:t>
            </w:r>
          </w:p>
        </w:tc>
        <w:tc>
          <w:tcPr>
            <w:tcW w:w="1680" w:type="dxa"/>
            <w:vAlign w:val="bottom"/>
          </w:tcPr>
          <w:p>
            <w:pPr>
              <w:jc w:val="right"/>
              <w:ind w:right="532"/>
              <w:spacing w:after="0"/>
              <w:rPr>
                <w:sz w:val="20"/>
                <w:szCs w:val="20"/>
                <w:color w:val="auto"/>
              </w:rPr>
            </w:pPr>
            <w:r>
              <w:rPr>
                <w:rFonts w:ascii="Arial" w:cs="Arial" w:eastAsia="Arial" w:hAnsi="Arial"/>
                <w:sz w:val="18"/>
                <w:szCs w:val="18"/>
                <w:b w:val="1"/>
                <w:bCs w:val="1"/>
                <w:color w:val="auto"/>
              </w:rPr>
              <w:t>years</w:t>
            </w:r>
          </w:p>
        </w:tc>
        <w:tc>
          <w:tcPr>
            <w:tcW w:w="1340" w:type="dxa"/>
            <w:vAlign w:val="bottom"/>
          </w:tcPr>
          <w:p>
            <w:pPr>
              <w:jc w:val="right"/>
              <w:ind w:right="292"/>
              <w:spacing w:after="0"/>
              <w:rPr>
                <w:sz w:val="20"/>
                <w:szCs w:val="20"/>
                <w:color w:val="auto"/>
              </w:rPr>
            </w:pPr>
            <w:r>
              <w:rPr>
                <w:rFonts w:ascii="Arial" w:cs="Arial" w:eastAsia="Arial" w:hAnsi="Arial"/>
                <w:sz w:val="18"/>
                <w:szCs w:val="18"/>
                <w:b w:val="1"/>
                <w:bCs w:val="1"/>
                <w:color w:val="auto"/>
              </w:rPr>
              <w:t>years</w:t>
            </w:r>
          </w:p>
        </w:tc>
        <w:tc>
          <w:tcPr>
            <w:tcW w:w="1280" w:type="dxa"/>
            <w:vAlign w:val="bottom"/>
          </w:tcPr>
          <w:p>
            <w:pPr>
              <w:jc w:val="right"/>
              <w:ind w:right="12"/>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140" w:type="dxa"/>
            <w:vAlign w:val="bottom"/>
          </w:tcPr>
          <w:p>
            <w:pPr>
              <w:jc w:val="right"/>
              <w:ind w:right="352"/>
              <w:spacing w:after="0"/>
              <w:rPr>
                <w:sz w:val="20"/>
                <w:szCs w:val="20"/>
                <w:color w:val="auto"/>
              </w:rPr>
            </w:pPr>
            <w:r>
              <w:rPr>
                <w:rFonts w:ascii="Arial" w:cs="Arial" w:eastAsia="Arial" w:hAnsi="Arial"/>
                <w:sz w:val="18"/>
                <w:szCs w:val="18"/>
                <w:b w:val="1"/>
                <w:bCs w:val="1"/>
                <w:color w:val="auto"/>
              </w:rPr>
              <w:t>$’000</w:t>
            </w:r>
          </w:p>
        </w:tc>
        <w:tc>
          <w:tcPr>
            <w:tcW w:w="1740" w:type="dxa"/>
            <w:vAlign w:val="bottom"/>
          </w:tcPr>
          <w:p>
            <w:pPr>
              <w:jc w:val="right"/>
              <w:ind w:right="472"/>
              <w:spacing w:after="0"/>
              <w:rPr>
                <w:sz w:val="20"/>
                <w:szCs w:val="20"/>
                <w:color w:val="auto"/>
              </w:rPr>
            </w:pPr>
            <w:r>
              <w:rPr>
                <w:rFonts w:ascii="Arial" w:cs="Arial" w:eastAsia="Arial" w:hAnsi="Arial"/>
                <w:sz w:val="18"/>
                <w:szCs w:val="18"/>
                <w:b w:val="1"/>
                <w:bCs w:val="1"/>
                <w:color w:val="auto"/>
              </w:rPr>
              <w:t>$’000</w:t>
            </w:r>
          </w:p>
        </w:tc>
        <w:tc>
          <w:tcPr>
            <w:tcW w:w="1680" w:type="dxa"/>
            <w:vAlign w:val="bottom"/>
          </w:tcPr>
          <w:p>
            <w:pPr>
              <w:jc w:val="right"/>
              <w:ind w:right="532"/>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292"/>
              <w:spacing w:after="0"/>
              <w:rPr>
                <w:sz w:val="20"/>
                <w:szCs w:val="20"/>
                <w:color w:val="auto"/>
              </w:rPr>
            </w:pPr>
            <w:r>
              <w:rPr>
                <w:rFonts w:ascii="Arial" w:cs="Arial" w:eastAsia="Arial" w:hAnsi="Arial"/>
                <w:sz w:val="18"/>
                <w:szCs w:val="18"/>
                <w:b w:val="1"/>
                <w:bCs w:val="1"/>
                <w:color w:val="auto"/>
              </w:rPr>
              <w:t>$’000</w:t>
            </w:r>
          </w:p>
        </w:tc>
        <w:tc>
          <w:tcPr>
            <w:tcW w:w="128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21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163,926</w:t>
            </w:r>
          </w:p>
        </w:tc>
        <w:tc>
          <w:tcPr>
            <w:tcW w:w="174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40,412</w:t>
            </w:r>
          </w:p>
        </w:tc>
        <w:tc>
          <w:tcPr>
            <w:tcW w:w="16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56,079</w:t>
            </w:r>
          </w:p>
        </w:tc>
        <w:tc>
          <w:tcPr>
            <w:tcW w:w="13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35,168</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32,267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Capital commitments</w:t>
            </w:r>
          </w:p>
        </w:tc>
        <w:tc>
          <w:tcPr>
            <w:tcW w:w="21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20,043</w:t>
            </w:r>
          </w:p>
        </w:tc>
        <w:tc>
          <w:tcPr>
            <w:tcW w:w="17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20,043</w:t>
            </w:r>
          </w:p>
        </w:tc>
        <w:tc>
          <w:tcPr>
            <w:tcW w:w="16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1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183,969</w:t>
            </w:r>
          </w:p>
        </w:tc>
        <w:tc>
          <w:tcPr>
            <w:tcW w:w="17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60,455</w:t>
            </w:r>
          </w:p>
        </w:tc>
        <w:tc>
          <w:tcPr>
            <w:tcW w:w="16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56,079</w:t>
            </w:r>
          </w:p>
        </w:tc>
        <w:tc>
          <w:tcPr>
            <w:tcW w:w="13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35,168</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Group expects to spend approximately $30 to $35 million in the next 12 months on further investments in information technology, the expansion of existing facilities and the addition of new offices. The Group believes that it will be able to fund additional foreseeable cash needs for the next twelve months from cash flow from operations and existing cash balances. In the future, the Group may consider acquiring businesses to enhance service offerings and global presence. Any such acquisitions may require additional external financing and the Group may, from time to time, seek to obtain funds from public or private issues of equity or debt securities. There can be no assurance that such financing will be available on terms acceptable to the Group.</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Litigation</w:t>
      </w:r>
    </w:p>
    <w:p>
      <w:pPr>
        <w:spacing w:after="0" w:line="250"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The Group is not party to any litigation or other legal proceedings that the Group believes could reasonably be expected to have a material adverse effect on the Group’s business, results of operations and financial position.</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Related Parties</w:t>
      </w:r>
    </w:p>
    <w:p>
      <w:pPr>
        <w:spacing w:after="0" w:line="250" w:lineRule="exact"/>
        <w:rPr>
          <w:sz w:val="20"/>
          <w:szCs w:val="20"/>
          <w:color w:val="auto"/>
        </w:rPr>
      </w:pPr>
    </w:p>
    <w:p>
      <w:pPr>
        <w:ind w:left="380" w:hanging="374"/>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Transactions with Directors and Executive Officer</w:t>
      </w:r>
    </w:p>
    <w:p>
      <w:pPr>
        <w:spacing w:after="0" w:line="244" w:lineRule="exact"/>
        <w:rPr>
          <w:sz w:val="20"/>
          <w:szCs w:val="20"/>
          <w:color w:val="auto"/>
        </w:rPr>
      </w:pPr>
    </w:p>
    <w:p>
      <w:pPr>
        <w:ind w:right="600"/>
        <w:spacing w:after="0" w:line="265" w:lineRule="auto"/>
        <w:rPr>
          <w:sz w:val="20"/>
          <w:szCs w:val="20"/>
          <w:color w:val="auto"/>
        </w:rPr>
      </w:pPr>
      <w:r>
        <w:rPr>
          <w:rFonts w:ascii="Arial" w:cs="Arial" w:eastAsia="Arial" w:hAnsi="Arial"/>
          <w:sz w:val="18"/>
          <w:szCs w:val="18"/>
          <w:color w:val="auto"/>
        </w:rPr>
        <w:t>The total compensation of the Directors and Executive Officers (key management remuneration) for the years ended 31 December 2012 and 2011 was as follows: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900" w:type="dxa"/>
            <w:vAlign w:val="bottom"/>
          </w:tcPr>
          <w:p>
            <w:pPr>
              <w:jc w:val="right"/>
              <w:ind w:right="232"/>
              <w:spacing w:after="0"/>
              <w:rPr>
                <w:sz w:val="20"/>
                <w:szCs w:val="20"/>
                <w:color w:val="auto"/>
              </w:rPr>
            </w:pPr>
            <w:r>
              <w:rPr>
                <w:rFonts w:ascii="Arial" w:cs="Arial" w:eastAsia="Arial" w:hAnsi="Arial"/>
                <w:sz w:val="18"/>
                <w:szCs w:val="18"/>
                <w:b w:val="1"/>
                <w:bCs w:val="1"/>
                <w:color w:val="auto"/>
              </w:rPr>
              <w:t>Year ended</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900" w:type="dxa"/>
            <w:vAlign w:val="bottom"/>
          </w:tcPr>
          <w:p>
            <w:pPr>
              <w:jc w:val="right"/>
              <w:ind w:right="232"/>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900" w:type="dxa"/>
            <w:vAlign w:val="bottom"/>
          </w:tcPr>
          <w:p>
            <w:pPr>
              <w:jc w:val="right"/>
              <w:ind w:right="232"/>
              <w:spacing w:after="0"/>
              <w:rPr>
                <w:sz w:val="20"/>
                <w:szCs w:val="20"/>
                <w:color w:val="auto"/>
              </w:rPr>
            </w:pPr>
            <w:r>
              <w:rPr>
                <w:rFonts w:ascii="Arial" w:cs="Arial" w:eastAsia="Arial" w:hAnsi="Arial"/>
                <w:sz w:val="18"/>
                <w:szCs w:val="18"/>
                <w:b w:val="1"/>
                <w:bCs w:val="1"/>
                <w:color w:val="auto"/>
              </w:rPr>
              <w:t>2012</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4900" w:type="dxa"/>
            <w:vAlign w:val="bottom"/>
          </w:tcPr>
          <w:p>
            <w:pPr>
              <w:jc w:val="right"/>
              <w:ind w:right="232"/>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Salary and fees</w:t>
            </w:r>
          </w:p>
        </w:tc>
        <w:tc>
          <w:tcPr>
            <w:tcW w:w="490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2,357</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Bonus</w:t>
            </w:r>
          </w:p>
        </w:tc>
        <w:tc>
          <w:tcPr>
            <w:tcW w:w="4900" w:type="dxa"/>
            <w:vAlign w:val="bottom"/>
          </w:tcPr>
          <w:p>
            <w:pPr>
              <w:jc w:val="right"/>
              <w:ind w:right="232"/>
              <w:spacing w:after="0"/>
              <w:rPr>
                <w:sz w:val="20"/>
                <w:szCs w:val="20"/>
                <w:color w:val="auto"/>
              </w:rPr>
            </w:pPr>
            <w:r>
              <w:rPr>
                <w:rFonts w:ascii="Arial" w:cs="Arial" w:eastAsia="Arial" w:hAnsi="Arial"/>
                <w:sz w:val="18"/>
                <w:szCs w:val="18"/>
                <w:b w:val="1"/>
                <w:bCs w:val="1"/>
                <w:color w:val="auto"/>
              </w:rPr>
              <w:t>7,514</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benefits</w:t>
            </w:r>
          </w:p>
        </w:tc>
        <w:tc>
          <w:tcPr>
            <w:tcW w:w="490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99</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Pension contributions</w:t>
            </w:r>
          </w:p>
        </w:tc>
        <w:tc>
          <w:tcPr>
            <w:tcW w:w="4900" w:type="dxa"/>
            <w:vAlign w:val="bottom"/>
          </w:tcPr>
          <w:p>
            <w:pPr>
              <w:jc w:val="right"/>
              <w:ind w:right="232"/>
              <w:spacing w:after="0"/>
              <w:rPr>
                <w:sz w:val="20"/>
                <w:szCs w:val="20"/>
                <w:color w:val="auto"/>
              </w:rPr>
            </w:pPr>
            <w:r>
              <w:rPr>
                <w:rFonts w:ascii="Arial" w:cs="Arial" w:eastAsia="Arial" w:hAnsi="Arial"/>
                <w:sz w:val="18"/>
                <w:szCs w:val="18"/>
                <w:b w:val="1"/>
                <w:bCs w:val="1"/>
                <w:color w:val="auto"/>
              </w:rPr>
              <w:t>1,219</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49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3,071</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9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14,260</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Details of ordinary shares, shares options and RSUs held by the Directors and Executive Officers are set out in note 8.</w:t>
      </w:r>
    </w:p>
    <w:p>
      <w:pPr>
        <w:spacing w:after="0" w:line="244" w:lineRule="exact"/>
        <w:rPr>
          <w:sz w:val="20"/>
          <w:szCs w:val="20"/>
          <w:color w:val="auto"/>
        </w:rPr>
      </w:pPr>
    </w:p>
    <w:p>
      <w:pPr>
        <w:ind w:right="320"/>
        <w:spacing w:after="0" w:line="265" w:lineRule="auto"/>
        <w:rPr>
          <w:sz w:val="20"/>
          <w:szCs w:val="20"/>
          <w:color w:val="auto"/>
        </w:rPr>
      </w:pPr>
      <w:r>
        <w:rPr>
          <w:rFonts w:ascii="Arial" w:cs="Arial" w:eastAsia="Arial" w:hAnsi="Arial"/>
          <w:sz w:val="18"/>
          <w:szCs w:val="18"/>
          <w:color w:val="auto"/>
        </w:rPr>
        <w:t>Details of transactions entered into by Directors and Key Executive Officer in shares and shares options of the Company during the year ended 31 December 2012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Share options exercised</w:t>
            </w:r>
          </w:p>
        </w:tc>
        <w:tc>
          <w:tcPr>
            <w:tcW w:w="4900" w:type="dxa"/>
            <w:vAlign w:val="bottom"/>
          </w:tcPr>
          <w:p>
            <w:pPr>
              <w:spacing w:after="0"/>
              <w:rPr>
                <w:sz w:val="19"/>
                <w:szCs w:val="19"/>
                <w:color w:val="auto"/>
              </w:rPr>
            </w:pPr>
          </w:p>
        </w:tc>
        <w:tc>
          <w:tcPr>
            <w:tcW w:w="132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Average</w:t>
            </w:r>
          </w:p>
        </w:tc>
        <w:tc>
          <w:tcPr>
            <w:tcW w:w="15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Market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900" w:type="dxa"/>
            <w:vAlign w:val="bottom"/>
          </w:tcPr>
          <w:p>
            <w:pPr>
              <w:jc w:val="right"/>
              <w:ind w:right="432"/>
              <w:spacing w:after="0"/>
              <w:rPr>
                <w:sz w:val="20"/>
                <w:szCs w:val="20"/>
                <w:color w:val="auto"/>
              </w:rPr>
            </w:pPr>
            <w:r>
              <w:rPr>
                <w:rFonts w:ascii="Arial" w:cs="Arial" w:eastAsia="Arial" w:hAnsi="Arial"/>
                <w:sz w:val="18"/>
                <w:szCs w:val="18"/>
                <w:b w:val="1"/>
                <w:bCs w:val="1"/>
                <w:color w:val="auto"/>
              </w:rPr>
              <w:t>Number of</w:t>
            </w:r>
          </w:p>
        </w:tc>
        <w:tc>
          <w:tcPr>
            <w:tcW w:w="1320" w:type="dxa"/>
            <w:vAlign w:val="bottom"/>
          </w:tcPr>
          <w:p>
            <w:pPr>
              <w:jc w:val="right"/>
              <w:ind w:right="72"/>
              <w:spacing w:after="0"/>
              <w:rPr>
                <w:sz w:val="20"/>
                <w:szCs w:val="20"/>
                <w:color w:val="auto"/>
              </w:rPr>
            </w:pPr>
            <w:r>
              <w:rPr>
                <w:rFonts w:ascii="Arial" w:cs="Arial" w:eastAsia="Arial" w:hAnsi="Arial"/>
                <w:sz w:val="18"/>
                <w:szCs w:val="18"/>
                <w:b w:val="1"/>
                <w:bCs w:val="1"/>
                <w:color w:val="auto"/>
              </w:rPr>
              <w:t>exercise</w:t>
            </w:r>
          </w:p>
        </w:tc>
        <w:tc>
          <w:tcPr>
            <w:tcW w:w="1500" w:type="dxa"/>
            <w:vAlign w:val="bottom"/>
          </w:tcPr>
          <w:p>
            <w:pPr>
              <w:jc w:val="right"/>
              <w:ind w:right="12"/>
              <w:spacing w:after="0"/>
              <w:rPr>
                <w:sz w:val="20"/>
                <w:szCs w:val="20"/>
                <w:color w:val="auto"/>
              </w:rPr>
            </w:pPr>
            <w:r>
              <w:rPr>
                <w:rFonts w:ascii="Arial" w:cs="Arial" w:eastAsia="Arial" w:hAnsi="Arial"/>
                <w:sz w:val="18"/>
                <w:szCs w:val="18"/>
                <w:b w:val="1"/>
                <w:bCs w:val="1"/>
                <w:color w:val="auto"/>
              </w:rPr>
              <w:t>price on date of</w:t>
            </w:r>
          </w:p>
        </w:tc>
        <w:tc>
          <w:tcPr>
            <w:tcW w:w="0" w:type="dxa"/>
            <w:vAlign w:val="bottom"/>
          </w:tcPr>
          <w:p>
            <w:pPr>
              <w:spacing w:after="0"/>
              <w:rPr>
                <w:sz w:val="1"/>
                <w:szCs w:val="1"/>
                <w:color w:val="auto"/>
              </w:rPr>
            </w:pPr>
          </w:p>
        </w:tc>
      </w:tr>
      <w:tr>
        <w:trPr>
          <w:trHeight w:val="229"/>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900" w:type="dxa"/>
            <w:vAlign w:val="bottom"/>
          </w:tcPr>
          <w:p>
            <w:pPr>
              <w:jc w:val="right"/>
              <w:ind w:right="372"/>
              <w:spacing w:after="0"/>
              <w:rPr>
                <w:sz w:val="20"/>
                <w:szCs w:val="20"/>
                <w:color w:val="auto"/>
              </w:rPr>
            </w:pPr>
            <w:r>
              <w:rPr>
                <w:rFonts w:ascii="Arial" w:cs="Arial" w:eastAsia="Arial" w:hAnsi="Arial"/>
                <w:sz w:val="18"/>
                <w:szCs w:val="18"/>
                <w:b w:val="1"/>
                <w:bCs w:val="1"/>
                <w:color w:val="auto"/>
              </w:rPr>
              <w:t>share options</w:t>
            </w:r>
          </w:p>
        </w:tc>
        <w:tc>
          <w:tcPr>
            <w:tcW w:w="1320" w:type="dxa"/>
            <w:vAlign w:val="bottom"/>
          </w:tcPr>
          <w:p>
            <w:pPr>
              <w:jc w:val="right"/>
              <w:ind w:right="72"/>
              <w:spacing w:after="0"/>
              <w:rPr>
                <w:sz w:val="20"/>
                <w:szCs w:val="20"/>
                <w:color w:val="auto"/>
              </w:rPr>
            </w:pPr>
            <w:r>
              <w:rPr>
                <w:rFonts w:ascii="Arial" w:cs="Arial" w:eastAsia="Arial" w:hAnsi="Arial"/>
                <w:sz w:val="18"/>
                <w:szCs w:val="18"/>
                <w:b w:val="1"/>
                <w:bCs w:val="1"/>
                <w:color w:val="auto"/>
              </w:rPr>
              <w:t>price</w:t>
            </w:r>
          </w:p>
        </w:tc>
        <w:tc>
          <w:tcPr>
            <w:tcW w:w="1500" w:type="dxa"/>
            <w:vAlign w:val="bottom"/>
          </w:tcPr>
          <w:p>
            <w:pPr>
              <w:jc w:val="right"/>
              <w:ind w:right="12"/>
              <w:spacing w:after="0"/>
              <w:rPr>
                <w:sz w:val="20"/>
                <w:szCs w:val="20"/>
                <w:color w:val="auto"/>
              </w:rPr>
            </w:pPr>
            <w:r>
              <w:rPr>
                <w:rFonts w:ascii="Arial" w:cs="Arial" w:eastAsia="Arial" w:hAnsi="Arial"/>
                <w:sz w:val="18"/>
                <w:szCs w:val="18"/>
                <w:b w:val="1"/>
                <w:bCs w:val="1"/>
                <w:color w:val="auto"/>
              </w:rPr>
              <w:t>exercise</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Tom Lynch</w:t>
            </w:r>
          </w:p>
        </w:tc>
        <w:tc>
          <w:tcPr>
            <w:tcW w:w="49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2,400</w:t>
            </w: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$8.60</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Brendan Brennan</w:t>
            </w:r>
          </w:p>
        </w:tc>
        <w:tc>
          <w:tcPr>
            <w:tcW w:w="49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4,260</w:t>
            </w: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$21.32</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Bruce Given</w:t>
            </w:r>
          </w:p>
        </w:tc>
        <w:tc>
          <w:tcPr>
            <w:tcW w:w="49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4,000</w:t>
            </w: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$8.60</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Ronan Lambe</w:t>
            </w:r>
          </w:p>
        </w:tc>
        <w:tc>
          <w:tcPr>
            <w:tcW w:w="49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4,000</w:t>
            </w: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$8.60</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4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Shares sold</w:t>
            </w:r>
          </w:p>
        </w:tc>
        <w:tc>
          <w:tcPr>
            <w:tcW w:w="4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Average Market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b w:val="1"/>
                <w:bCs w:val="1"/>
                <w:color w:val="auto"/>
              </w:rPr>
              <w:t>Number</w:t>
            </w:r>
          </w:p>
        </w:tc>
        <w:tc>
          <w:tcPr>
            <w:tcW w:w="1500" w:type="dxa"/>
            <w:vAlign w:val="bottom"/>
          </w:tcPr>
          <w:p>
            <w:pPr>
              <w:jc w:val="right"/>
              <w:ind w:right="12"/>
              <w:spacing w:after="0"/>
              <w:rPr>
                <w:sz w:val="20"/>
                <w:szCs w:val="20"/>
                <w:color w:val="auto"/>
              </w:rPr>
            </w:pPr>
            <w:r>
              <w:rPr>
                <w:rFonts w:ascii="Arial" w:cs="Arial" w:eastAsia="Arial" w:hAnsi="Arial"/>
                <w:sz w:val="18"/>
                <w:szCs w:val="18"/>
                <w:b w:val="1"/>
                <w:bCs w:val="1"/>
                <w:color w:val="auto"/>
              </w:rPr>
              <w:t>Price of Shares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b w:val="1"/>
                <w:bCs w:val="1"/>
                <w:color w:val="auto"/>
              </w:rPr>
              <w:t>of shares</w:t>
            </w:r>
          </w:p>
        </w:tc>
        <w:tc>
          <w:tcPr>
            <w:tcW w:w="1500" w:type="dxa"/>
            <w:vAlign w:val="bottom"/>
          </w:tcPr>
          <w:p>
            <w:pPr>
              <w:jc w:val="right"/>
              <w:ind w:right="12"/>
              <w:spacing w:after="0"/>
              <w:rPr>
                <w:sz w:val="20"/>
                <w:szCs w:val="20"/>
                <w:color w:val="auto"/>
              </w:rPr>
            </w:pPr>
            <w:r>
              <w:rPr>
                <w:rFonts w:ascii="Arial" w:cs="Arial" w:eastAsia="Arial" w:hAnsi="Arial"/>
                <w:sz w:val="18"/>
                <w:szCs w:val="18"/>
                <w:b w:val="1"/>
                <w:bCs w:val="1"/>
                <w:color w:val="auto"/>
              </w:rPr>
              <w:t>Sold</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Brendan Brennan</w:t>
            </w:r>
          </w:p>
        </w:tc>
        <w:tc>
          <w:tcPr>
            <w:tcW w:w="49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4,260</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Bruce Given</w:t>
            </w:r>
          </w:p>
        </w:tc>
        <w:tc>
          <w:tcPr>
            <w:tcW w:w="49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4,000</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Ronan Lambe</w:t>
            </w:r>
          </w:p>
        </w:tc>
        <w:tc>
          <w:tcPr>
            <w:tcW w:w="49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4,000</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Peter Gray</w:t>
            </w:r>
          </w:p>
        </w:tc>
        <w:tc>
          <w:tcPr>
            <w:tcW w:w="49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50,000</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900" w:type="dxa"/>
            <w:vAlign w:val="bottom"/>
          </w:tcPr>
          <w:p>
            <w:pPr>
              <w:jc w:val="right"/>
              <w:ind w:right="2712"/>
              <w:spacing w:after="0"/>
              <w:rPr>
                <w:sz w:val="20"/>
                <w:szCs w:val="20"/>
                <w:color w:val="auto"/>
              </w:rPr>
            </w:pPr>
            <w:r>
              <w:rPr>
                <w:rFonts w:ascii="Arial" w:cs="Arial" w:eastAsia="Arial" w:hAnsi="Arial"/>
                <w:sz w:val="18"/>
                <w:szCs w:val="18"/>
                <w:color w:val="auto"/>
              </w:rPr>
              <w:t>92</w:t>
            </w: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29. Related Parties </w:t>
      </w:r>
      <w:r>
        <w:rPr>
          <w:rFonts w:ascii="Arial" w:cs="Arial" w:eastAsia="Arial" w:hAnsi="Arial"/>
          <w:sz w:val="18"/>
          <w:szCs w:val="18"/>
          <w:b w:val="1"/>
          <w:bCs w:val="1"/>
          <w:i w:val="1"/>
          <w:iCs w:val="1"/>
          <w:color w:val="auto"/>
        </w:rPr>
        <w:t>(continued)</w:t>
      </w:r>
    </w:p>
    <w:p>
      <w:pPr>
        <w:spacing w:after="0" w:line="223" w:lineRule="exact"/>
        <w:rPr>
          <w:sz w:val="20"/>
          <w:szCs w:val="20"/>
          <w:color w:val="auto"/>
        </w:rPr>
      </w:pPr>
    </w:p>
    <w:p>
      <w:pPr>
        <w:ind w:left="440" w:hanging="43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Other Related Party Transactions</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19 July 2012, Mr. Peter Gray retired as a Director and employee of the Company. The Company subsequently entered into an agreement with Integritum Limited, a company controlled by Mr. Gray, for the provision of consultancy services for a period of two years from 1 August 2012, at an agreed fee of €265,000 ($350,000) per annum.</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1 January 2010 the Group entered into a three year agreement with Rotrua Limited, a Company controlled by Dr. John Climax, a non-executive director of the Group. This three year agreement is for the provision of consultancy services by Dr. Climax to the Group at an agreed fee of €262,500 ($348,968) per annum. The consultancy agreement has expired but it did provide that the Group would during its term provide permanent disability and life insurance coverage for Dr. Climax and medical insurance cover for himself and his dependants.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Subsequent Events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 year end acquisition of Clinical Trial Services Division of Cross Country Healthcare, Inc.</w:t>
      </w:r>
    </w:p>
    <w:p>
      <w:pPr>
        <w:spacing w:after="0" w:line="24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15 February 2013 the Company acquired the clinical trial services division of Cross Country Healthcare Inc. for an initial cash consideration of $51.9 million. Further consideration of up to $3.75 million may become payable if certain performance milestones are achieved during the period ended 31 December 2013. Cross Country Healthcare’s Clinical Trial Services Division includes US resourcing providers, ClinForce and Assent Consulting, whose services include contract staffing, permanent placement and functional service provision. The division also includes AKOS, a leading US and EU provider of pharmacovigilance and drug safety services. ClinForce and Assent will be combined with ICON’s FSP division, DOCS, creating a leader in global resourcing and FSP, while AKOS will enhance the services offered by ICON’s medical and safety services team.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summarises the Group’s provisional estimates of the fair values of the assets acquired and the liabilities assumed: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480" w:type="dxa"/>
            <w:vAlign w:val="bottom"/>
          </w:tcPr>
          <w:p>
            <w:pPr>
              <w:jc w:val="right"/>
              <w:ind w:right="292"/>
              <w:spacing w:after="0"/>
              <w:rPr>
                <w:sz w:val="20"/>
                <w:szCs w:val="20"/>
                <w:color w:val="auto"/>
              </w:rPr>
            </w:pPr>
            <w:r>
              <w:rPr>
                <w:rFonts w:ascii="Arial" w:cs="Arial" w:eastAsia="Arial" w:hAnsi="Arial"/>
                <w:sz w:val="18"/>
                <w:szCs w:val="18"/>
                <w:b w:val="1"/>
                <w:bCs w:val="1"/>
                <w:color w:val="auto"/>
              </w:rPr>
              <w:t>Carrying</w:t>
            </w:r>
          </w:p>
        </w:tc>
        <w:tc>
          <w:tcPr>
            <w:tcW w:w="1620" w:type="dxa"/>
            <w:vAlign w:val="bottom"/>
          </w:tcPr>
          <w:p>
            <w:pPr>
              <w:jc w:val="right"/>
              <w:ind w:right="292"/>
              <w:spacing w:after="0"/>
              <w:rPr>
                <w:sz w:val="20"/>
                <w:szCs w:val="20"/>
                <w:color w:val="auto"/>
              </w:rPr>
            </w:pPr>
            <w:r>
              <w:rPr>
                <w:rFonts w:ascii="Arial" w:cs="Arial" w:eastAsia="Arial" w:hAnsi="Arial"/>
                <w:sz w:val="18"/>
                <w:szCs w:val="18"/>
                <w:b w:val="1"/>
                <w:bCs w:val="1"/>
                <w:color w:val="auto"/>
              </w:rPr>
              <w:t>Fair Value</w:t>
            </w:r>
          </w:p>
        </w:tc>
        <w:tc>
          <w:tcPr>
            <w:tcW w:w="1280" w:type="dxa"/>
            <w:vAlign w:val="bottom"/>
          </w:tcPr>
          <w:p>
            <w:pPr>
              <w:jc w:val="right"/>
              <w:ind w:right="12"/>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480" w:type="dxa"/>
            <w:vAlign w:val="bottom"/>
          </w:tcPr>
          <w:p>
            <w:pPr>
              <w:jc w:val="right"/>
              <w:ind w:right="292"/>
              <w:spacing w:after="0"/>
              <w:rPr>
                <w:sz w:val="20"/>
                <w:szCs w:val="20"/>
                <w:color w:val="auto"/>
              </w:rPr>
            </w:pPr>
            <w:r>
              <w:rPr>
                <w:rFonts w:ascii="Arial" w:cs="Arial" w:eastAsia="Arial" w:hAnsi="Arial"/>
                <w:sz w:val="18"/>
                <w:szCs w:val="18"/>
                <w:b w:val="1"/>
                <w:bCs w:val="1"/>
                <w:color w:val="auto"/>
              </w:rPr>
              <w:t>Amount</w:t>
            </w:r>
          </w:p>
        </w:tc>
        <w:tc>
          <w:tcPr>
            <w:tcW w:w="1620" w:type="dxa"/>
            <w:vAlign w:val="bottom"/>
          </w:tcPr>
          <w:p>
            <w:pPr>
              <w:jc w:val="right"/>
              <w:ind w:right="292"/>
              <w:spacing w:after="0"/>
              <w:rPr>
                <w:sz w:val="20"/>
                <w:szCs w:val="20"/>
                <w:color w:val="auto"/>
              </w:rPr>
            </w:pPr>
            <w:r>
              <w:rPr>
                <w:rFonts w:ascii="Arial" w:cs="Arial" w:eastAsia="Arial" w:hAnsi="Arial"/>
                <w:sz w:val="18"/>
                <w:szCs w:val="18"/>
                <w:b w:val="1"/>
                <w:bCs w:val="1"/>
                <w:color w:val="auto"/>
              </w:rPr>
              <w:t>Adjustment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480" w:type="dxa"/>
            <w:vAlign w:val="bottom"/>
          </w:tcPr>
          <w:p>
            <w:pPr>
              <w:jc w:val="right"/>
              <w:ind w:right="292"/>
              <w:spacing w:after="0"/>
              <w:rPr>
                <w:sz w:val="20"/>
                <w:szCs w:val="20"/>
                <w:color w:val="auto"/>
              </w:rPr>
            </w:pPr>
            <w:r>
              <w:rPr>
                <w:rFonts w:ascii="Arial" w:cs="Arial" w:eastAsia="Arial" w:hAnsi="Arial"/>
                <w:sz w:val="18"/>
                <w:szCs w:val="18"/>
                <w:b w:val="1"/>
                <w:bCs w:val="1"/>
                <w:color w:val="auto"/>
              </w:rPr>
              <w:t>$’000</w:t>
            </w:r>
          </w:p>
        </w:tc>
        <w:tc>
          <w:tcPr>
            <w:tcW w:w="1620" w:type="dxa"/>
            <w:vAlign w:val="bottom"/>
          </w:tcPr>
          <w:p>
            <w:pPr>
              <w:jc w:val="right"/>
              <w:ind w:right="292"/>
              <w:spacing w:after="0"/>
              <w:rPr>
                <w:sz w:val="20"/>
                <w:szCs w:val="20"/>
                <w:color w:val="auto"/>
              </w:rPr>
            </w:pPr>
            <w:r>
              <w:rPr>
                <w:rFonts w:ascii="Arial" w:cs="Arial" w:eastAsia="Arial" w:hAnsi="Arial"/>
                <w:sz w:val="18"/>
                <w:szCs w:val="18"/>
                <w:b w:val="1"/>
                <w:bCs w:val="1"/>
                <w:color w:val="auto"/>
              </w:rPr>
              <w:t>$’000</w:t>
            </w:r>
          </w:p>
        </w:tc>
        <w:tc>
          <w:tcPr>
            <w:tcW w:w="128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369</w:t>
            </w:r>
          </w:p>
        </w:tc>
        <w:tc>
          <w:tcPr>
            <w:tcW w:w="16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Goodwill</w:t>
            </w:r>
          </w:p>
        </w:tc>
        <w:tc>
          <w:tcPr>
            <w:tcW w:w="34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92"/>
              <w:spacing w:after="0"/>
              <w:rPr>
                <w:sz w:val="20"/>
                <w:szCs w:val="20"/>
                <w:color w:val="auto"/>
              </w:rPr>
            </w:pPr>
            <w:r>
              <w:rPr>
                <w:rFonts w:ascii="Arial" w:cs="Arial" w:eastAsia="Arial" w:hAnsi="Arial"/>
                <w:sz w:val="18"/>
                <w:szCs w:val="18"/>
                <w:color w:val="auto"/>
              </w:rPr>
              <w:t>45,802</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45,802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1,039</w:t>
            </w:r>
          </w:p>
        </w:tc>
        <w:tc>
          <w:tcPr>
            <w:tcW w:w="16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Accounts receivables</w:t>
            </w:r>
          </w:p>
        </w:tc>
        <w:tc>
          <w:tcPr>
            <w:tcW w:w="3480" w:type="dxa"/>
            <w:vAlign w:val="bottom"/>
          </w:tcPr>
          <w:p>
            <w:pPr>
              <w:jc w:val="right"/>
              <w:ind w:right="292"/>
              <w:spacing w:after="0"/>
              <w:rPr>
                <w:sz w:val="20"/>
                <w:szCs w:val="20"/>
                <w:color w:val="auto"/>
              </w:rPr>
            </w:pPr>
            <w:r>
              <w:rPr>
                <w:rFonts w:ascii="Arial" w:cs="Arial" w:eastAsia="Arial" w:hAnsi="Arial"/>
                <w:sz w:val="18"/>
                <w:szCs w:val="18"/>
                <w:color w:val="auto"/>
              </w:rPr>
              <w:t>9,196</w:t>
            </w:r>
          </w:p>
        </w:tc>
        <w:tc>
          <w:tcPr>
            <w:tcW w:w="16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9,196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3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2,128</w:t>
            </w:r>
          </w:p>
        </w:tc>
        <w:tc>
          <w:tcPr>
            <w:tcW w:w="16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3480" w:type="dxa"/>
            <w:vAlign w:val="bottom"/>
          </w:tcPr>
          <w:p>
            <w:pPr>
              <w:jc w:val="right"/>
              <w:ind w:right="292"/>
              <w:spacing w:after="0"/>
              <w:rPr>
                <w:sz w:val="20"/>
                <w:szCs w:val="20"/>
                <w:color w:val="auto"/>
              </w:rPr>
            </w:pPr>
            <w:r>
              <w:rPr>
                <w:rFonts w:ascii="Arial" w:cs="Arial" w:eastAsia="Arial" w:hAnsi="Arial"/>
                <w:sz w:val="18"/>
                <w:szCs w:val="18"/>
                <w:color w:val="auto"/>
              </w:rPr>
              <w:t>449</w:t>
            </w:r>
          </w:p>
        </w:tc>
        <w:tc>
          <w:tcPr>
            <w:tcW w:w="16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(2,838)</w:t>
            </w:r>
          </w:p>
        </w:tc>
        <w:tc>
          <w:tcPr>
            <w:tcW w:w="16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 payable</w:t>
            </w:r>
          </w:p>
        </w:tc>
        <w:tc>
          <w:tcPr>
            <w:tcW w:w="34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(498)</w:t>
            </w:r>
          </w:p>
        </w:tc>
        <w:tc>
          <w:tcPr>
            <w:tcW w:w="16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3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55,647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The carrying value of accounts receivable in the above table are the gross contractual amounts receivable and are carried at amortised cost. This is assumed to be approximate to their fair value due to the short term nature of these balances. There is no evidence that the Group will not be able to collect all amounts as due.</w:t>
      </w:r>
    </w:p>
    <w:p>
      <w:pPr>
        <w:spacing w:after="0" w:line="137"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Goodwill represents the acquisition of an established workforce with experience in the clinical research industry, thereby allowing the Company to enhance its capabilities in global resourcing and FSP and also medical and safety services. Other intangible assets are expected to comprise of customer relationships.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Subsidiary Undertakings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As at 31 December 2012 the Group had the following principal subsidiary undertakings: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560" w:type="dxa"/>
            <w:vAlign w:val="bottom"/>
          </w:tcPr>
          <w:p>
            <w:pPr>
              <w:ind w:left="1280"/>
              <w:spacing w:after="0"/>
              <w:rPr>
                <w:sz w:val="20"/>
                <w:szCs w:val="20"/>
                <w:color w:val="auto"/>
              </w:rPr>
            </w:pPr>
            <w:r>
              <w:rPr>
                <w:rFonts w:ascii="Arial" w:cs="Arial" w:eastAsia="Arial" w:hAnsi="Arial"/>
                <w:sz w:val="18"/>
                <w:szCs w:val="18"/>
                <w:b w:val="1"/>
                <w:bCs w:val="1"/>
                <w:i w:val="1"/>
                <w:iCs w:val="1"/>
                <w:color w:val="auto"/>
              </w:rPr>
              <w:t>Proportion held by</w:t>
            </w:r>
          </w:p>
        </w:tc>
      </w:tr>
      <w:tr>
        <w:trPr>
          <w:trHeight w:val="224"/>
        </w:trPr>
        <w:tc>
          <w:tcPr>
            <w:tcW w:w="43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Name</w:t>
            </w:r>
          </w:p>
        </w:tc>
        <w:tc>
          <w:tcPr>
            <w:tcW w:w="350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Registered Office</w:t>
            </w:r>
          </w:p>
        </w:tc>
        <w:tc>
          <w:tcPr>
            <w:tcW w:w="3560" w:type="dxa"/>
            <w:vAlign w:val="bottom"/>
          </w:tcPr>
          <w:p>
            <w:pPr>
              <w:ind w:left="1280"/>
              <w:spacing w:after="0"/>
              <w:rPr>
                <w:sz w:val="20"/>
                <w:szCs w:val="20"/>
                <w:color w:val="auto"/>
              </w:rPr>
            </w:pPr>
            <w:r>
              <w:rPr>
                <w:rFonts w:ascii="Arial" w:cs="Arial" w:eastAsia="Arial" w:hAnsi="Arial"/>
                <w:sz w:val="18"/>
                <w:szCs w:val="18"/>
                <w:b w:val="1"/>
                <w:bCs w:val="1"/>
                <w:i w:val="1"/>
                <w:iCs w:val="1"/>
                <w:color w:val="auto"/>
              </w:rPr>
              <w:t>group</w:t>
            </w:r>
          </w:p>
        </w:tc>
      </w:tr>
      <w:tr>
        <w:trPr>
          <w:trHeight w:val="200"/>
        </w:trPr>
        <w:tc>
          <w:tcPr>
            <w:tcW w:w="43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ICON Clinical Research Limited</w:t>
            </w:r>
          </w:p>
        </w:tc>
        <w:tc>
          <w:tcPr>
            <w:tcW w:w="35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South County Business Park</w:t>
            </w:r>
          </w:p>
        </w:tc>
        <w:tc>
          <w:tcPr>
            <w:tcW w:w="3560" w:type="dxa"/>
            <w:vAlign w:val="bottom"/>
            <w:shd w:val="clear" w:color="auto" w:fill="CCEEFF"/>
          </w:tcPr>
          <w:p>
            <w:pPr>
              <w:ind w:left="1280"/>
              <w:spacing w:after="0" w:line="201" w:lineRule="exact"/>
              <w:rPr>
                <w:sz w:val="20"/>
                <w:szCs w:val="20"/>
                <w:color w:val="auto"/>
              </w:rPr>
            </w:pPr>
            <w:r>
              <w:rPr>
                <w:rFonts w:ascii="Arial" w:cs="Arial" w:eastAsia="Arial" w:hAnsi="Arial"/>
                <w:sz w:val="18"/>
                <w:szCs w:val="18"/>
                <w:color w:val="auto"/>
              </w:rPr>
              <w:t>100%*</w:t>
            </w:r>
          </w:p>
        </w:tc>
      </w:tr>
      <w:tr>
        <w:trPr>
          <w:trHeight w:val="212"/>
        </w:trPr>
        <w:tc>
          <w:tcPr>
            <w:tcW w:w="4360" w:type="dxa"/>
            <w:vAlign w:val="bottom"/>
            <w:shd w:val="clear" w:color="auto" w:fill="CCEEFF"/>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Leopardstown</w:t>
            </w:r>
          </w:p>
        </w:tc>
        <w:tc>
          <w:tcPr>
            <w:tcW w:w="3560" w:type="dxa"/>
            <w:vAlign w:val="bottom"/>
            <w:shd w:val="clear" w:color="auto" w:fill="CCEEFF"/>
          </w:tcPr>
          <w:p>
            <w:pPr>
              <w:spacing w:after="0"/>
              <w:rPr>
                <w:sz w:val="18"/>
                <w:szCs w:val="18"/>
                <w:color w:val="auto"/>
              </w:rPr>
            </w:pPr>
          </w:p>
        </w:tc>
      </w:tr>
      <w:tr>
        <w:trPr>
          <w:trHeight w:val="212"/>
        </w:trPr>
        <w:tc>
          <w:tcPr>
            <w:tcW w:w="4360" w:type="dxa"/>
            <w:vAlign w:val="bottom"/>
            <w:shd w:val="clear" w:color="auto" w:fill="CCEEFF"/>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Dublin 18</w:t>
            </w:r>
          </w:p>
        </w:tc>
        <w:tc>
          <w:tcPr>
            <w:tcW w:w="3560" w:type="dxa"/>
            <w:vAlign w:val="bottom"/>
            <w:shd w:val="clear" w:color="auto" w:fill="CCEEFF"/>
          </w:tcPr>
          <w:p>
            <w:pPr>
              <w:spacing w:after="0"/>
              <w:rPr>
                <w:sz w:val="18"/>
                <w:szCs w:val="18"/>
                <w:color w:val="auto"/>
              </w:rPr>
            </w:pPr>
          </w:p>
        </w:tc>
      </w:tr>
      <w:tr>
        <w:trPr>
          <w:trHeight w:val="225"/>
        </w:trPr>
        <w:tc>
          <w:tcPr>
            <w:tcW w:w="4360" w:type="dxa"/>
            <w:vAlign w:val="bottom"/>
            <w:shd w:val="clear" w:color="auto" w:fill="CCEEFF"/>
          </w:tcPr>
          <w:p>
            <w:pPr>
              <w:spacing w:after="0"/>
              <w:rPr>
                <w:sz w:val="19"/>
                <w:szCs w:val="19"/>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Republic of Ireland</w:t>
            </w:r>
          </w:p>
        </w:tc>
        <w:tc>
          <w:tcPr>
            <w:tcW w:w="3560" w:type="dxa"/>
            <w:vAlign w:val="bottom"/>
            <w:shd w:val="clear" w:color="auto" w:fill="CCEEFF"/>
          </w:tcPr>
          <w:p>
            <w:pPr>
              <w:spacing w:after="0"/>
              <w:rPr>
                <w:sz w:val="19"/>
                <w:szCs w:val="19"/>
                <w:color w:val="auto"/>
              </w:rPr>
            </w:pPr>
          </w:p>
        </w:tc>
      </w:tr>
      <w:tr>
        <w:trPr>
          <w:trHeight w:val="212"/>
        </w:trPr>
        <w:tc>
          <w:tcPr>
            <w:tcW w:w="4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00"/>
        </w:trPr>
        <w:tc>
          <w:tcPr>
            <w:tcW w:w="436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Holdings</w:t>
            </w:r>
          </w:p>
        </w:tc>
        <w:tc>
          <w:tcPr>
            <w:tcW w:w="35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South County Business Park</w:t>
            </w:r>
          </w:p>
        </w:tc>
        <w:tc>
          <w:tcPr>
            <w:tcW w:w="3560" w:type="dxa"/>
            <w:vAlign w:val="bottom"/>
            <w:shd w:val="clear" w:color="auto" w:fill="CCEEFF"/>
          </w:tcPr>
          <w:p>
            <w:pPr>
              <w:ind w:left="12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360" w:type="dxa"/>
            <w:vAlign w:val="bottom"/>
            <w:shd w:val="clear" w:color="auto" w:fill="CCEEFF"/>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Leopardstown</w:t>
            </w:r>
          </w:p>
        </w:tc>
        <w:tc>
          <w:tcPr>
            <w:tcW w:w="3560" w:type="dxa"/>
            <w:vAlign w:val="bottom"/>
            <w:shd w:val="clear" w:color="auto" w:fill="CCEEFF"/>
          </w:tcPr>
          <w:p>
            <w:pPr>
              <w:spacing w:after="0"/>
              <w:rPr>
                <w:sz w:val="18"/>
                <w:szCs w:val="18"/>
                <w:color w:val="auto"/>
              </w:rPr>
            </w:pPr>
          </w:p>
        </w:tc>
      </w:tr>
      <w:tr>
        <w:trPr>
          <w:trHeight w:val="212"/>
        </w:trPr>
        <w:tc>
          <w:tcPr>
            <w:tcW w:w="4360" w:type="dxa"/>
            <w:vAlign w:val="bottom"/>
            <w:shd w:val="clear" w:color="auto" w:fill="CCEEFF"/>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Dublin 18</w:t>
            </w:r>
          </w:p>
        </w:tc>
        <w:tc>
          <w:tcPr>
            <w:tcW w:w="3560" w:type="dxa"/>
            <w:vAlign w:val="bottom"/>
            <w:shd w:val="clear" w:color="auto" w:fill="CCEEFF"/>
          </w:tcPr>
          <w:p>
            <w:pPr>
              <w:spacing w:after="0"/>
              <w:rPr>
                <w:sz w:val="18"/>
                <w:szCs w:val="18"/>
                <w:color w:val="auto"/>
              </w:rPr>
            </w:pPr>
          </w:p>
        </w:tc>
      </w:tr>
      <w:tr>
        <w:trPr>
          <w:trHeight w:val="225"/>
        </w:trPr>
        <w:tc>
          <w:tcPr>
            <w:tcW w:w="4360" w:type="dxa"/>
            <w:vAlign w:val="bottom"/>
            <w:shd w:val="clear" w:color="auto" w:fill="CCEEFF"/>
          </w:tcPr>
          <w:p>
            <w:pPr>
              <w:spacing w:after="0"/>
              <w:rPr>
                <w:sz w:val="19"/>
                <w:szCs w:val="19"/>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Republic of Ireland</w:t>
            </w:r>
          </w:p>
        </w:tc>
        <w:tc>
          <w:tcPr>
            <w:tcW w:w="3560" w:type="dxa"/>
            <w:vAlign w:val="bottom"/>
            <w:shd w:val="clear" w:color="auto" w:fill="CCEEFF"/>
          </w:tcPr>
          <w:p>
            <w:pPr>
              <w:spacing w:after="0"/>
              <w:rPr>
                <w:sz w:val="19"/>
                <w:szCs w:val="19"/>
                <w:color w:val="auto"/>
              </w:rPr>
            </w:pPr>
          </w:p>
        </w:tc>
      </w:tr>
      <w:tr>
        <w:trPr>
          <w:trHeight w:val="212"/>
        </w:trPr>
        <w:tc>
          <w:tcPr>
            <w:tcW w:w="4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00"/>
        </w:trPr>
        <w:tc>
          <w:tcPr>
            <w:tcW w:w="436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w w:val="96"/>
              </w:rPr>
              <w:t>ICON Holdings Clinical Research International Limited</w:t>
            </w:r>
          </w:p>
        </w:tc>
        <w:tc>
          <w:tcPr>
            <w:tcW w:w="35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South County Business Park</w:t>
            </w:r>
          </w:p>
        </w:tc>
        <w:tc>
          <w:tcPr>
            <w:tcW w:w="3560" w:type="dxa"/>
            <w:vAlign w:val="bottom"/>
            <w:shd w:val="clear" w:color="auto" w:fill="CCEEFF"/>
          </w:tcPr>
          <w:p>
            <w:pPr>
              <w:ind w:left="12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360" w:type="dxa"/>
            <w:vAlign w:val="bottom"/>
            <w:shd w:val="clear" w:color="auto" w:fill="CCEEFF"/>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Leopardstown</w:t>
            </w:r>
          </w:p>
        </w:tc>
        <w:tc>
          <w:tcPr>
            <w:tcW w:w="3560" w:type="dxa"/>
            <w:vAlign w:val="bottom"/>
            <w:shd w:val="clear" w:color="auto" w:fill="CCEEFF"/>
          </w:tcPr>
          <w:p>
            <w:pPr>
              <w:spacing w:after="0"/>
              <w:rPr>
                <w:sz w:val="18"/>
                <w:szCs w:val="18"/>
                <w:color w:val="auto"/>
              </w:rPr>
            </w:pPr>
          </w:p>
        </w:tc>
      </w:tr>
      <w:tr>
        <w:trPr>
          <w:trHeight w:val="212"/>
        </w:trPr>
        <w:tc>
          <w:tcPr>
            <w:tcW w:w="4360" w:type="dxa"/>
            <w:vAlign w:val="bottom"/>
            <w:shd w:val="clear" w:color="auto" w:fill="CCEEFF"/>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Dublin 18</w:t>
            </w:r>
          </w:p>
        </w:tc>
        <w:tc>
          <w:tcPr>
            <w:tcW w:w="3560" w:type="dxa"/>
            <w:vAlign w:val="bottom"/>
            <w:shd w:val="clear" w:color="auto" w:fill="CCEEFF"/>
          </w:tcPr>
          <w:p>
            <w:pPr>
              <w:spacing w:after="0"/>
              <w:rPr>
                <w:sz w:val="18"/>
                <w:szCs w:val="18"/>
                <w:color w:val="auto"/>
              </w:rPr>
            </w:pPr>
          </w:p>
        </w:tc>
      </w:tr>
      <w:tr>
        <w:trPr>
          <w:trHeight w:val="225"/>
        </w:trPr>
        <w:tc>
          <w:tcPr>
            <w:tcW w:w="4360" w:type="dxa"/>
            <w:vAlign w:val="bottom"/>
            <w:shd w:val="clear" w:color="auto" w:fill="CCEEFF"/>
          </w:tcPr>
          <w:p>
            <w:pPr>
              <w:spacing w:after="0"/>
              <w:rPr>
                <w:sz w:val="19"/>
                <w:szCs w:val="19"/>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Republic of Ireland</w:t>
            </w:r>
          </w:p>
        </w:tc>
        <w:tc>
          <w:tcPr>
            <w:tcW w:w="3560" w:type="dxa"/>
            <w:vAlign w:val="bottom"/>
            <w:shd w:val="clear" w:color="auto" w:fill="CCEEFF"/>
          </w:tcPr>
          <w:p>
            <w:pPr>
              <w:spacing w:after="0"/>
              <w:rPr>
                <w:sz w:val="19"/>
                <w:szCs w:val="19"/>
                <w:color w:val="auto"/>
              </w:rPr>
            </w:pPr>
          </w:p>
        </w:tc>
      </w:tr>
      <w:tr>
        <w:trPr>
          <w:trHeight w:val="212"/>
        </w:trPr>
        <w:tc>
          <w:tcPr>
            <w:tcW w:w="4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00"/>
        </w:trPr>
        <w:tc>
          <w:tcPr>
            <w:tcW w:w="436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DOCS Resourcing Limited</w:t>
            </w:r>
          </w:p>
        </w:tc>
        <w:tc>
          <w:tcPr>
            <w:tcW w:w="35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South County Business Park</w:t>
            </w:r>
          </w:p>
        </w:tc>
        <w:tc>
          <w:tcPr>
            <w:tcW w:w="3560" w:type="dxa"/>
            <w:vAlign w:val="bottom"/>
            <w:shd w:val="clear" w:color="auto" w:fill="CCEEFF"/>
          </w:tcPr>
          <w:p>
            <w:pPr>
              <w:ind w:left="12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360" w:type="dxa"/>
            <w:vAlign w:val="bottom"/>
            <w:shd w:val="clear" w:color="auto" w:fill="CCEEFF"/>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Leopardstown</w:t>
            </w:r>
          </w:p>
        </w:tc>
        <w:tc>
          <w:tcPr>
            <w:tcW w:w="3560" w:type="dxa"/>
            <w:vAlign w:val="bottom"/>
            <w:shd w:val="clear" w:color="auto" w:fill="CCEEFF"/>
          </w:tcPr>
          <w:p>
            <w:pPr>
              <w:spacing w:after="0"/>
              <w:rPr>
                <w:sz w:val="18"/>
                <w:szCs w:val="18"/>
                <w:color w:val="auto"/>
              </w:rPr>
            </w:pPr>
          </w:p>
        </w:tc>
      </w:tr>
      <w:tr>
        <w:trPr>
          <w:trHeight w:val="212"/>
        </w:trPr>
        <w:tc>
          <w:tcPr>
            <w:tcW w:w="4360" w:type="dxa"/>
            <w:vAlign w:val="bottom"/>
            <w:shd w:val="clear" w:color="auto" w:fill="CCEEFF"/>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Dublin 18</w:t>
            </w:r>
          </w:p>
        </w:tc>
        <w:tc>
          <w:tcPr>
            <w:tcW w:w="3560" w:type="dxa"/>
            <w:vAlign w:val="bottom"/>
            <w:shd w:val="clear" w:color="auto" w:fill="CCEEFF"/>
          </w:tcPr>
          <w:p>
            <w:pPr>
              <w:spacing w:after="0"/>
              <w:rPr>
                <w:sz w:val="18"/>
                <w:szCs w:val="18"/>
                <w:color w:val="auto"/>
              </w:rPr>
            </w:pPr>
          </w:p>
        </w:tc>
      </w:tr>
      <w:tr>
        <w:trPr>
          <w:trHeight w:val="225"/>
        </w:trPr>
        <w:tc>
          <w:tcPr>
            <w:tcW w:w="4360" w:type="dxa"/>
            <w:vAlign w:val="bottom"/>
            <w:shd w:val="clear" w:color="auto" w:fill="CCEEFF"/>
          </w:tcPr>
          <w:p>
            <w:pPr>
              <w:spacing w:after="0"/>
              <w:rPr>
                <w:sz w:val="19"/>
                <w:szCs w:val="19"/>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Republic of Ireland</w:t>
            </w:r>
          </w:p>
        </w:tc>
        <w:tc>
          <w:tcPr>
            <w:tcW w:w="3560" w:type="dxa"/>
            <w:vAlign w:val="bottom"/>
            <w:shd w:val="clear" w:color="auto" w:fill="CCEEFF"/>
          </w:tcPr>
          <w:p>
            <w:pPr>
              <w:spacing w:after="0"/>
              <w:rPr>
                <w:sz w:val="19"/>
                <w:szCs w:val="19"/>
                <w:color w:val="auto"/>
              </w:rPr>
            </w:pPr>
          </w:p>
        </w:tc>
      </w:tr>
      <w:tr>
        <w:trPr>
          <w:trHeight w:val="212"/>
        </w:trPr>
        <w:tc>
          <w:tcPr>
            <w:tcW w:w="4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00"/>
        </w:trPr>
        <w:tc>
          <w:tcPr>
            <w:tcW w:w="436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Firecrest Clinical Limited</w:t>
            </w:r>
          </w:p>
        </w:tc>
        <w:tc>
          <w:tcPr>
            <w:tcW w:w="35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Unit 1 Mary Rosse Centre</w:t>
            </w:r>
          </w:p>
        </w:tc>
        <w:tc>
          <w:tcPr>
            <w:tcW w:w="3560" w:type="dxa"/>
            <w:vAlign w:val="bottom"/>
            <w:shd w:val="clear" w:color="auto" w:fill="CCEEFF"/>
          </w:tcPr>
          <w:p>
            <w:pPr>
              <w:ind w:left="12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360" w:type="dxa"/>
            <w:vAlign w:val="bottom"/>
            <w:shd w:val="clear" w:color="auto" w:fill="CCEEFF"/>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Holland Road</w:t>
            </w:r>
          </w:p>
        </w:tc>
        <w:tc>
          <w:tcPr>
            <w:tcW w:w="3560" w:type="dxa"/>
            <w:vAlign w:val="bottom"/>
            <w:shd w:val="clear" w:color="auto" w:fill="CCEEFF"/>
          </w:tcPr>
          <w:p>
            <w:pPr>
              <w:spacing w:after="0"/>
              <w:rPr>
                <w:sz w:val="18"/>
                <w:szCs w:val="18"/>
                <w:color w:val="auto"/>
              </w:rPr>
            </w:pPr>
          </w:p>
        </w:tc>
      </w:tr>
      <w:tr>
        <w:trPr>
          <w:trHeight w:val="212"/>
        </w:trPr>
        <w:tc>
          <w:tcPr>
            <w:tcW w:w="4360" w:type="dxa"/>
            <w:vAlign w:val="bottom"/>
            <w:shd w:val="clear" w:color="auto" w:fill="CCEEFF"/>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National Technology Park</w:t>
            </w:r>
          </w:p>
        </w:tc>
        <w:tc>
          <w:tcPr>
            <w:tcW w:w="3560" w:type="dxa"/>
            <w:vAlign w:val="bottom"/>
            <w:shd w:val="clear" w:color="auto" w:fill="CCEEFF"/>
          </w:tcPr>
          <w:p>
            <w:pPr>
              <w:spacing w:after="0"/>
              <w:rPr>
                <w:sz w:val="18"/>
                <w:szCs w:val="18"/>
                <w:color w:val="auto"/>
              </w:rPr>
            </w:pPr>
          </w:p>
        </w:tc>
      </w:tr>
      <w:tr>
        <w:trPr>
          <w:trHeight w:val="225"/>
        </w:trPr>
        <w:tc>
          <w:tcPr>
            <w:tcW w:w="4360" w:type="dxa"/>
            <w:vAlign w:val="bottom"/>
            <w:shd w:val="clear" w:color="auto" w:fill="CCEEFF"/>
          </w:tcPr>
          <w:p>
            <w:pPr>
              <w:spacing w:after="0"/>
              <w:rPr>
                <w:sz w:val="19"/>
                <w:szCs w:val="19"/>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Limerick</w:t>
            </w:r>
          </w:p>
        </w:tc>
        <w:tc>
          <w:tcPr>
            <w:tcW w:w="3560" w:type="dxa"/>
            <w:vAlign w:val="bottom"/>
            <w:shd w:val="clear" w:color="auto" w:fill="CCEEFF"/>
          </w:tcPr>
          <w:p>
            <w:pPr>
              <w:spacing w:after="0"/>
              <w:rPr>
                <w:sz w:val="19"/>
                <w:szCs w:val="19"/>
                <w:color w:val="auto"/>
              </w:rPr>
            </w:pPr>
          </w:p>
        </w:tc>
      </w:tr>
      <w:tr>
        <w:trPr>
          <w:trHeight w:val="212"/>
        </w:trPr>
        <w:tc>
          <w:tcPr>
            <w:tcW w:w="4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00"/>
        </w:trPr>
        <w:tc>
          <w:tcPr>
            <w:tcW w:w="436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Development Solutions, LLC</w:t>
            </w:r>
          </w:p>
        </w:tc>
        <w:tc>
          <w:tcPr>
            <w:tcW w:w="35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8282 Halsey Road,</w:t>
            </w:r>
          </w:p>
        </w:tc>
        <w:tc>
          <w:tcPr>
            <w:tcW w:w="3560" w:type="dxa"/>
            <w:vAlign w:val="bottom"/>
            <w:shd w:val="clear" w:color="auto" w:fill="CCEEFF"/>
          </w:tcPr>
          <w:p>
            <w:pPr>
              <w:ind w:left="12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360" w:type="dxa"/>
            <w:vAlign w:val="bottom"/>
            <w:shd w:val="clear" w:color="auto" w:fill="CCEEFF"/>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Whitesboro</w:t>
            </w:r>
          </w:p>
        </w:tc>
        <w:tc>
          <w:tcPr>
            <w:tcW w:w="3560" w:type="dxa"/>
            <w:vAlign w:val="bottom"/>
            <w:shd w:val="clear" w:color="auto" w:fill="CCEEFF"/>
          </w:tcPr>
          <w:p>
            <w:pPr>
              <w:spacing w:after="0"/>
              <w:rPr>
                <w:sz w:val="18"/>
                <w:szCs w:val="18"/>
                <w:color w:val="auto"/>
              </w:rPr>
            </w:pPr>
          </w:p>
        </w:tc>
      </w:tr>
      <w:tr>
        <w:trPr>
          <w:trHeight w:val="212"/>
        </w:trPr>
        <w:tc>
          <w:tcPr>
            <w:tcW w:w="4360" w:type="dxa"/>
            <w:vAlign w:val="bottom"/>
            <w:shd w:val="clear" w:color="auto" w:fill="CCEEFF"/>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NY 13492</w:t>
            </w:r>
          </w:p>
        </w:tc>
        <w:tc>
          <w:tcPr>
            <w:tcW w:w="3560" w:type="dxa"/>
            <w:vAlign w:val="bottom"/>
            <w:shd w:val="clear" w:color="auto" w:fill="CCEEFF"/>
          </w:tcPr>
          <w:p>
            <w:pPr>
              <w:spacing w:after="0"/>
              <w:rPr>
                <w:sz w:val="18"/>
                <w:szCs w:val="18"/>
                <w:color w:val="auto"/>
              </w:rPr>
            </w:pPr>
          </w:p>
        </w:tc>
      </w:tr>
      <w:tr>
        <w:trPr>
          <w:trHeight w:val="225"/>
        </w:trPr>
        <w:tc>
          <w:tcPr>
            <w:tcW w:w="4360" w:type="dxa"/>
            <w:vAlign w:val="bottom"/>
            <w:shd w:val="clear" w:color="auto" w:fill="CCEEFF"/>
          </w:tcPr>
          <w:p>
            <w:pPr>
              <w:spacing w:after="0"/>
              <w:rPr>
                <w:sz w:val="19"/>
                <w:szCs w:val="19"/>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U.S.A.</w:t>
            </w:r>
          </w:p>
        </w:tc>
        <w:tc>
          <w:tcPr>
            <w:tcW w:w="3560" w:type="dxa"/>
            <w:vAlign w:val="bottom"/>
            <w:shd w:val="clear" w:color="auto" w:fill="CCEEFF"/>
          </w:tcPr>
          <w:p>
            <w:pPr>
              <w:spacing w:after="0"/>
              <w:rPr>
                <w:sz w:val="19"/>
                <w:szCs w:val="19"/>
                <w:color w:val="auto"/>
              </w:rPr>
            </w:pPr>
          </w:p>
        </w:tc>
      </w:tr>
      <w:tr>
        <w:trPr>
          <w:trHeight w:val="212"/>
        </w:trPr>
        <w:tc>
          <w:tcPr>
            <w:tcW w:w="4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00"/>
        </w:trPr>
        <w:tc>
          <w:tcPr>
            <w:tcW w:w="436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Development Solutions, LLC</w:t>
            </w:r>
          </w:p>
        </w:tc>
        <w:tc>
          <w:tcPr>
            <w:tcW w:w="35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7740 Milestone Parkway,</w:t>
            </w:r>
          </w:p>
        </w:tc>
        <w:tc>
          <w:tcPr>
            <w:tcW w:w="3560" w:type="dxa"/>
            <w:vAlign w:val="bottom"/>
            <w:shd w:val="clear" w:color="auto" w:fill="CCEEFF"/>
          </w:tcPr>
          <w:p>
            <w:pPr>
              <w:ind w:left="12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360" w:type="dxa"/>
            <w:vAlign w:val="bottom"/>
            <w:shd w:val="clear" w:color="auto" w:fill="CCEEFF"/>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Suite 150, Hanover,</w:t>
            </w:r>
          </w:p>
        </w:tc>
        <w:tc>
          <w:tcPr>
            <w:tcW w:w="3560" w:type="dxa"/>
            <w:vAlign w:val="bottom"/>
            <w:shd w:val="clear" w:color="auto" w:fill="CCEEFF"/>
          </w:tcPr>
          <w:p>
            <w:pPr>
              <w:spacing w:after="0"/>
              <w:rPr>
                <w:sz w:val="18"/>
                <w:szCs w:val="18"/>
                <w:color w:val="auto"/>
              </w:rPr>
            </w:pPr>
          </w:p>
        </w:tc>
      </w:tr>
      <w:tr>
        <w:trPr>
          <w:trHeight w:val="212"/>
        </w:trPr>
        <w:tc>
          <w:tcPr>
            <w:tcW w:w="4360" w:type="dxa"/>
            <w:vAlign w:val="bottom"/>
            <w:shd w:val="clear" w:color="auto" w:fill="CCEEFF"/>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MD 21076</w:t>
            </w:r>
          </w:p>
        </w:tc>
        <w:tc>
          <w:tcPr>
            <w:tcW w:w="3560" w:type="dxa"/>
            <w:vAlign w:val="bottom"/>
            <w:shd w:val="clear" w:color="auto" w:fill="CCEEFF"/>
          </w:tcPr>
          <w:p>
            <w:pPr>
              <w:spacing w:after="0"/>
              <w:rPr>
                <w:sz w:val="18"/>
                <w:szCs w:val="18"/>
                <w:color w:val="auto"/>
              </w:rPr>
            </w:pPr>
          </w:p>
        </w:tc>
      </w:tr>
      <w:tr>
        <w:trPr>
          <w:trHeight w:val="225"/>
        </w:trPr>
        <w:tc>
          <w:tcPr>
            <w:tcW w:w="4360" w:type="dxa"/>
            <w:vAlign w:val="bottom"/>
            <w:shd w:val="clear" w:color="auto" w:fill="CCEEFF"/>
          </w:tcPr>
          <w:p>
            <w:pPr>
              <w:spacing w:after="0"/>
              <w:rPr>
                <w:sz w:val="19"/>
                <w:szCs w:val="19"/>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U.S.A.</w:t>
            </w:r>
          </w:p>
        </w:tc>
        <w:tc>
          <w:tcPr>
            <w:tcW w:w="3560" w:type="dxa"/>
            <w:vAlign w:val="bottom"/>
            <w:shd w:val="clear" w:color="auto" w:fill="CCEEFF"/>
          </w:tcPr>
          <w:p>
            <w:pPr>
              <w:spacing w:after="0"/>
              <w:rPr>
                <w:sz w:val="19"/>
                <w:szCs w:val="19"/>
                <w:color w:val="auto"/>
              </w:rPr>
            </w:pPr>
          </w:p>
        </w:tc>
      </w:tr>
      <w:tr>
        <w:trPr>
          <w:trHeight w:val="212"/>
        </w:trPr>
        <w:tc>
          <w:tcPr>
            <w:tcW w:w="4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00"/>
        </w:trPr>
        <w:tc>
          <w:tcPr>
            <w:tcW w:w="436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Clinical Research, Inc.</w:t>
            </w:r>
          </w:p>
        </w:tc>
        <w:tc>
          <w:tcPr>
            <w:tcW w:w="35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212 Church Road,</w:t>
            </w:r>
          </w:p>
        </w:tc>
        <w:tc>
          <w:tcPr>
            <w:tcW w:w="3560" w:type="dxa"/>
            <w:vAlign w:val="bottom"/>
            <w:shd w:val="clear" w:color="auto" w:fill="CCEEFF"/>
          </w:tcPr>
          <w:p>
            <w:pPr>
              <w:ind w:left="12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360" w:type="dxa"/>
            <w:vAlign w:val="bottom"/>
            <w:shd w:val="clear" w:color="auto" w:fill="CCEEFF"/>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Wales,</w:t>
            </w:r>
          </w:p>
        </w:tc>
        <w:tc>
          <w:tcPr>
            <w:tcW w:w="3560" w:type="dxa"/>
            <w:vAlign w:val="bottom"/>
            <w:shd w:val="clear" w:color="auto" w:fill="CCEEFF"/>
          </w:tcPr>
          <w:p>
            <w:pPr>
              <w:spacing w:after="0"/>
              <w:rPr>
                <w:sz w:val="18"/>
                <w:szCs w:val="18"/>
                <w:color w:val="auto"/>
              </w:rPr>
            </w:pPr>
          </w:p>
        </w:tc>
      </w:tr>
      <w:tr>
        <w:trPr>
          <w:trHeight w:val="212"/>
        </w:trPr>
        <w:tc>
          <w:tcPr>
            <w:tcW w:w="4360" w:type="dxa"/>
            <w:vAlign w:val="bottom"/>
            <w:shd w:val="clear" w:color="auto" w:fill="CCEEFF"/>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 19454</w:t>
            </w:r>
          </w:p>
        </w:tc>
        <w:tc>
          <w:tcPr>
            <w:tcW w:w="3560" w:type="dxa"/>
            <w:vAlign w:val="bottom"/>
            <w:shd w:val="clear" w:color="auto" w:fill="CCEEFF"/>
          </w:tcPr>
          <w:p>
            <w:pPr>
              <w:spacing w:after="0"/>
              <w:rPr>
                <w:sz w:val="18"/>
                <w:szCs w:val="18"/>
                <w:color w:val="auto"/>
              </w:rPr>
            </w:pPr>
          </w:p>
        </w:tc>
      </w:tr>
      <w:tr>
        <w:trPr>
          <w:trHeight w:val="225"/>
        </w:trPr>
        <w:tc>
          <w:tcPr>
            <w:tcW w:w="4360" w:type="dxa"/>
            <w:vAlign w:val="bottom"/>
            <w:shd w:val="clear" w:color="auto" w:fill="CCEEFF"/>
          </w:tcPr>
          <w:p>
            <w:pPr>
              <w:spacing w:after="0"/>
              <w:rPr>
                <w:sz w:val="19"/>
                <w:szCs w:val="19"/>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U.S.A.</w:t>
            </w:r>
          </w:p>
        </w:tc>
        <w:tc>
          <w:tcPr>
            <w:tcW w:w="3560" w:type="dxa"/>
            <w:vAlign w:val="bottom"/>
            <w:shd w:val="clear" w:color="auto" w:fill="CCEEFF"/>
          </w:tcPr>
          <w:p>
            <w:pPr>
              <w:spacing w:after="0"/>
              <w:rPr>
                <w:sz w:val="19"/>
                <w:szCs w:val="19"/>
                <w:color w:val="auto"/>
              </w:rPr>
            </w:pPr>
          </w:p>
        </w:tc>
      </w:tr>
      <w:tr>
        <w:trPr>
          <w:trHeight w:val="212"/>
        </w:trPr>
        <w:tc>
          <w:tcPr>
            <w:tcW w:w="4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00"/>
        </w:trPr>
        <w:tc>
          <w:tcPr>
            <w:tcW w:w="436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Central Laboratories, Inc.</w:t>
            </w:r>
          </w:p>
        </w:tc>
        <w:tc>
          <w:tcPr>
            <w:tcW w:w="35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123 Smith Street,</w:t>
            </w:r>
          </w:p>
        </w:tc>
        <w:tc>
          <w:tcPr>
            <w:tcW w:w="3560" w:type="dxa"/>
            <w:vAlign w:val="bottom"/>
            <w:shd w:val="clear" w:color="auto" w:fill="CCEEFF"/>
          </w:tcPr>
          <w:p>
            <w:pPr>
              <w:ind w:left="12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360" w:type="dxa"/>
            <w:vAlign w:val="bottom"/>
            <w:shd w:val="clear" w:color="auto" w:fill="CCEEFF"/>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Farmingdale,</w:t>
            </w:r>
          </w:p>
        </w:tc>
        <w:tc>
          <w:tcPr>
            <w:tcW w:w="3560" w:type="dxa"/>
            <w:vAlign w:val="bottom"/>
            <w:shd w:val="clear" w:color="auto" w:fill="CCEEFF"/>
          </w:tcPr>
          <w:p>
            <w:pPr>
              <w:spacing w:after="0"/>
              <w:rPr>
                <w:sz w:val="18"/>
                <w:szCs w:val="18"/>
                <w:color w:val="auto"/>
              </w:rPr>
            </w:pPr>
          </w:p>
        </w:tc>
      </w:tr>
      <w:tr>
        <w:trPr>
          <w:trHeight w:val="212"/>
        </w:trPr>
        <w:tc>
          <w:tcPr>
            <w:tcW w:w="4360" w:type="dxa"/>
            <w:vAlign w:val="bottom"/>
            <w:shd w:val="clear" w:color="auto" w:fill="CCEEFF"/>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NY 11735</w:t>
            </w:r>
          </w:p>
        </w:tc>
        <w:tc>
          <w:tcPr>
            <w:tcW w:w="3560" w:type="dxa"/>
            <w:vAlign w:val="bottom"/>
            <w:shd w:val="clear" w:color="auto" w:fill="CCEEFF"/>
          </w:tcPr>
          <w:p>
            <w:pPr>
              <w:spacing w:after="0"/>
              <w:rPr>
                <w:sz w:val="18"/>
                <w:szCs w:val="18"/>
                <w:color w:val="auto"/>
              </w:rPr>
            </w:pPr>
          </w:p>
        </w:tc>
      </w:tr>
      <w:tr>
        <w:trPr>
          <w:trHeight w:val="225"/>
        </w:trPr>
        <w:tc>
          <w:tcPr>
            <w:tcW w:w="4360" w:type="dxa"/>
            <w:vAlign w:val="bottom"/>
            <w:shd w:val="clear" w:color="auto" w:fill="CCEEFF"/>
          </w:tcPr>
          <w:p>
            <w:pPr>
              <w:spacing w:after="0"/>
              <w:rPr>
                <w:sz w:val="19"/>
                <w:szCs w:val="19"/>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U.S.A.</w:t>
            </w:r>
          </w:p>
        </w:tc>
        <w:tc>
          <w:tcPr>
            <w:tcW w:w="3560" w:type="dxa"/>
            <w:vAlign w:val="bottom"/>
            <w:shd w:val="clear" w:color="auto" w:fill="CCEEFF"/>
          </w:tcPr>
          <w:p>
            <w:pPr>
              <w:spacing w:after="0"/>
              <w:rPr>
                <w:sz w:val="19"/>
                <w:szCs w:val="19"/>
                <w:color w:val="auto"/>
              </w:rPr>
            </w:pPr>
          </w:p>
        </w:tc>
      </w:tr>
      <w:tr>
        <w:trPr>
          <w:trHeight w:val="569"/>
        </w:trPr>
        <w:tc>
          <w:tcPr>
            <w:tcW w:w="4360" w:type="dxa"/>
            <w:vAlign w:val="bottom"/>
          </w:tcPr>
          <w:p>
            <w:pPr>
              <w:spacing w:after="0"/>
              <w:rPr>
                <w:sz w:val="24"/>
                <w:szCs w:val="24"/>
                <w:color w:val="auto"/>
              </w:rPr>
            </w:pPr>
          </w:p>
        </w:tc>
        <w:tc>
          <w:tcPr>
            <w:tcW w:w="3500" w:type="dxa"/>
            <w:vAlign w:val="bottom"/>
          </w:tcPr>
          <w:p>
            <w:pPr>
              <w:ind w:left="1260"/>
              <w:spacing w:after="0"/>
              <w:rPr>
                <w:sz w:val="20"/>
                <w:szCs w:val="20"/>
                <w:color w:val="auto"/>
              </w:rPr>
            </w:pPr>
            <w:r>
              <w:rPr>
                <w:rFonts w:ascii="Arial" w:cs="Arial" w:eastAsia="Arial" w:hAnsi="Arial"/>
                <w:sz w:val="18"/>
                <w:szCs w:val="18"/>
                <w:color w:val="auto"/>
              </w:rPr>
              <w:t>94</w:t>
            </w:r>
          </w:p>
        </w:tc>
        <w:tc>
          <w:tcPr>
            <w:tcW w:w="3560" w:type="dxa"/>
            <w:vAlign w:val="bottom"/>
          </w:tcPr>
          <w:p>
            <w:pPr>
              <w:spacing w:after="0"/>
              <w:rPr>
                <w:sz w:val="24"/>
                <w:szCs w:val="24"/>
                <w:color w:val="auto"/>
              </w:rPr>
            </w:pPr>
          </w:p>
        </w:tc>
      </w:tr>
      <w:tr>
        <w:trPr>
          <w:trHeight w:val="117"/>
        </w:trPr>
        <w:tc>
          <w:tcPr>
            <w:tcW w:w="4360" w:type="dxa"/>
            <w:vAlign w:val="bottom"/>
            <w:tcBorders>
              <w:bottom w:val="single" w:sz="8" w:color="808080"/>
            </w:tcBorders>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spacing w:after="0"/>
              <w:rPr>
                <w:sz w:val="20"/>
                <w:szCs w:val="20"/>
                <w:color w:val="auto"/>
              </w:rPr>
            </w:pPr>
            <w:r>
              <w:rPr>
                <w:rFonts w:ascii="Arial" w:cs="Arial" w:eastAsia="Arial" w:hAnsi="Arial"/>
                <w:sz w:val="18"/>
                <w:szCs w:val="18"/>
                <w:b w:val="1"/>
                <w:bCs w:val="1"/>
                <w:color w:val="auto"/>
              </w:rPr>
              <w:t xml:space="preserve">31. Subsidiary Undertakings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tc>
        <w:tc>
          <w:tcPr>
            <w:tcW w:w="426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39"/>
        </w:trPr>
        <w:tc>
          <w:tcPr>
            <w:tcW w:w="38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340" w:type="dxa"/>
            <w:vAlign w:val="bottom"/>
          </w:tcPr>
          <w:p>
            <w:pPr>
              <w:ind w:left="1060"/>
              <w:spacing w:after="0"/>
              <w:rPr>
                <w:sz w:val="20"/>
                <w:szCs w:val="20"/>
                <w:color w:val="auto"/>
              </w:rPr>
            </w:pPr>
            <w:r>
              <w:rPr>
                <w:rFonts w:ascii="Arial" w:cs="Arial" w:eastAsia="Arial" w:hAnsi="Arial"/>
                <w:sz w:val="18"/>
                <w:szCs w:val="18"/>
                <w:b w:val="1"/>
                <w:bCs w:val="1"/>
                <w:i w:val="1"/>
                <w:iCs w:val="1"/>
                <w:color w:val="auto"/>
              </w:rPr>
              <w:t>Proportion held by</w:t>
            </w:r>
          </w:p>
        </w:tc>
      </w:tr>
      <w:tr>
        <w:trPr>
          <w:trHeight w:val="224"/>
        </w:trPr>
        <w:tc>
          <w:tcPr>
            <w:tcW w:w="38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Name</w:t>
            </w:r>
          </w:p>
        </w:tc>
        <w:tc>
          <w:tcPr>
            <w:tcW w:w="4260" w:type="dxa"/>
            <w:vAlign w:val="bottom"/>
          </w:tcPr>
          <w:p>
            <w:pPr>
              <w:ind w:left="760"/>
              <w:spacing w:after="0"/>
              <w:rPr>
                <w:sz w:val="20"/>
                <w:szCs w:val="20"/>
                <w:color w:val="auto"/>
              </w:rPr>
            </w:pPr>
            <w:r>
              <w:rPr>
                <w:rFonts w:ascii="Arial" w:cs="Arial" w:eastAsia="Arial" w:hAnsi="Arial"/>
                <w:sz w:val="18"/>
                <w:szCs w:val="18"/>
                <w:b w:val="1"/>
                <w:bCs w:val="1"/>
                <w:i w:val="1"/>
                <w:iCs w:val="1"/>
                <w:color w:val="auto"/>
              </w:rPr>
              <w:t>Registered Office</w:t>
            </w:r>
          </w:p>
        </w:tc>
        <w:tc>
          <w:tcPr>
            <w:tcW w:w="3340" w:type="dxa"/>
            <w:vAlign w:val="bottom"/>
          </w:tcPr>
          <w:p>
            <w:pPr>
              <w:ind w:left="1060"/>
              <w:spacing w:after="0"/>
              <w:rPr>
                <w:sz w:val="20"/>
                <w:szCs w:val="20"/>
                <w:color w:val="auto"/>
              </w:rPr>
            </w:pPr>
            <w:r>
              <w:rPr>
                <w:rFonts w:ascii="Arial" w:cs="Arial" w:eastAsia="Arial" w:hAnsi="Arial"/>
                <w:sz w:val="18"/>
                <w:szCs w:val="18"/>
                <w:b w:val="1"/>
                <w:bCs w:val="1"/>
                <w:i w:val="1"/>
                <w:iCs w:val="1"/>
                <w:color w:val="auto"/>
              </w:rPr>
              <w:t>group</w:t>
            </w:r>
          </w:p>
        </w:tc>
      </w:tr>
      <w:tr>
        <w:trPr>
          <w:trHeight w:val="200"/>
        </w:trPr>
        <w:tc>
          <w:tcPr>
            <w:tcW w:w="3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Beacon Bioscience, Inc.</w:t>
            </w:r>
          </w:p>
        </w:tc>
        <w:tc>
          <w:tcPr>
            <w:tcW w:w="4260" w:type="dxa"/>
            <w:vAlign w:val="bottom"/>
            <w:shd w:val="clear" w:color="auto" w:fill="CCEEFF"/>
          </w:tcPr>
          <w:p>
            <w:pPr>
              <w:ind w:left="760"/>
              <w:spacing w:after="0" w:line="201" w:lineRule="exact"/>
              <w:rPr>
                <w:sz w:val="20"/>
                <w:szCs w:val="20"/>
                <w:color w:val="auto"/>
              </w:rPr>
            </w:pPr>
            <w:r>
              <w:rPr>
                <w:rFonts w:ascii="Arial" w:cs="Arial" w:eastAsia="Arial" w:hAnsi="Arial"/>
                <w:sz w:val="18"/>
                <w:szCs w:val="18"/>
                <w:color w:val="auto"/>
              </w:rPr>
              <w:t>2800 Kelly Road,</w:t>
            </w:r>
          </w:p>
        </w:tc>
        <w:tc>
          <w:tcPr>
            <w:tcW w:w="3340" w:type="dxa"/>
            <w:vAlign w:val="bottom"/>
            <w:shd w:val="clear" w:color="auto" w:fill="CCEEFF"/>
          </w:tcPr>
          <w:p>
            <w:pPr>
              <w:ind w:left="1060"/>
              <w:spacing w:after="0" w:line="201"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Suite 200,</w:t>
            </w:r>
          </w:p>
        </w:tc>
        <w:tc>
          <w:tcPr>
            <w:tcW w:w="334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Warrington,</w:t>
            </w:r>
          </w:p>
        </w:tc>
        <w:tc>
          <w:tcPr>
            <w:tcW w:w="334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PA 18976</w:t>
            </w:r>
          </w:p>
        </w:tc>
        <w:tc>
          <w:tcPr>
            <w:tcW w:w="334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U.S.A.</w:t>
            </w:r>
          </w:p>
        </w:tc>
        <w:tc>
          <w:tcPr>
            <w:tcW w:w="3340" w:type="dxa"/>
            <w:vAlign w:val="bottom"/>
            <w:shd w:val="clear" w:color="auto" w:fill="CCEEFF"/>
          </w:tcPr>
          <w:p>
            <w:pPr>
              <w:spacing w:after="0"/>
              <w:rPr>
                <w:sz w:val="19"/>
                <w:szCs w:val="19"/>
                <w:color w:val="auto"/>
              </w:rPr>
            </w:pPr>
          </w:p>
        </w:tc>
      </w:tr>
      <w:tr>
        <w:trPr>
          <w:trHeight w:val="212"/>
        </w:trPr>
        <w:tc>
          <w:tcPr>
            <w:tcW w:w="38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00"/>
        </w:trPr>
        <w:tc>
          <w:tcPr>
            <w:tcW w:w="38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Healthcare Discoveries, LLC</w:t>
            </w:r>
          </w:p>
        </w:tc>
        <w:tc>
          <w:tcPr>
            <w:tcW w:w="4260" w:type="dxa"/>
            <w:vAlign w:val="bottom"/>
            <w:shd w:val="clear" w:color="auto" w:fill="CCEEFF"/>
          </w:tcPr>
          <w:p>
            <w:pPr>
              <w:ind w:left="760"/>
              <w:spacing w:after="0" w:line="200" w:lineRule="exact"/>
              <w:rPr>
                <w:sz w:val="20"/>
                <w:szCs w:val="20"/>
                <w:color w:val="auto"/>
              </w:rPr>
            </w:pPr>
            <w:r>
              <w:rPr>
                <w:rFonts w:ascii="Arial" w:cs="Arial" w:eastAsia="Arial" w:hAnsi="Arial"/>
                <w:sz w:val="18"/>
                <w:szCs w:val="18"/>
                <w:color w:val="auto"/>
              </w:rPr>
              <w:t>8307 Gault Lane,</w:t>
            </w:r>
          </w:p>
        </w:tc>
        <w:tc>
          <w:tcPr>
            <w:tcW w:w="3340" w:type="dxa"/>
            <w:vAlign w:val="bottom"/>
            <w:shd w:val="clear" w:color="auto" w:fill="CCEEFF"/>
          </w:tcPr>
          <w:p>
            <w:pPr>
              <w:ind w:left="106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San Antonio,</w:t>
            </w:r>
          </w:p>
        </w:tc>
        <w:tc>
          <w:tcPr>
            <w:tcW w:w="334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TX 78209-1015</w:t>
            </w:r>
          </w:p>
        </w:tc>
        <w:tc>
          <w:tcPr>
            <w:tcW w:w="334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U.S.A.</w:t>
            </w:r>
          </w:p>
        </w:tc>
        <w:tc>
          <w:tcPr>
            <w:tcW w:w="3340" w:type="dxa"/>
            <w:vAlign w:val="bottom"/>
            <w:shd w:val="clear" w:color="auto" w:fill="CCEEFF"/>
          </w:tcPr>
          <w:p>
            <w:pPr>
              <w:spacing w:after="0"/>
              <w:rPr>
                <w:sz w:val="19"/>
                <w:szCs w:val="19"/>
                <w:color w:val="auto"/>
              </w:rPr>
            </w:pPr>
          </w:p>
        </w:tc>
      </w:tr>
      <w:tr>
        <w:trPr>
          <w:trHeight w:val="212"/>
        </w:trPr>
        <w:tc>
          <w:tcPr>
            <w:tcW w:w="38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00"/>
        </w:trPr>
        <w:tc>
          <w:tcPr>
            <w:tcW w:w="38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Oxford Outcomes Inc.</w:t>
            </w:r>
          </w:p>
        </w:tc>
        <w:tc>
          <w:tcPr>
            <w:tcW w:w="4260" w:type="dxa"/>
            <w:vAlign w:val="bottom"/>
            <w:shd w:val="clear" w:color="auto" w:fill="CCEEFF"/>
          </w:tcPr>
          <w:p>
            <w:pPr>
              <w:ind w:left="760"/>
              <w:spacing w:after="0" w:line="200" w:lineRule="exact"/>
              <w:rPr>
                <w:sz w:val="20"/>
                <w:szCs w:val="20"/>
                <w:color w:val="auto"/>
              </w:rPr>
            </w:pPr>
            <w:r>
              <w:rPr>
                <w:rFonts w:ascii="Arial" w:cs="Arial" w:eastAsia="Arial" w:hAnsi="Arial"/>
                <w:sz w:val="18"/>
                <w:szCs w:val="18"/>
                <w:color w:val="auto"/>
              </w:rPr>
              <w:t>7315 Wisconsin Avenue,</w:t>
            </w:r>
          </w:p>
        </w:tc>
        <w:tc>
          <w:tcPr>
            <w:tcW w:w="3340" w:type="dxa"/>
            <w:vAlign w:val="bottom"/>
            <w:shd w:val="clear" w:color="auto" w:fill="CCEEFF"/>
          </w:tcPr>
          <w:p>
            <w:pPr>
              <w:ind w:left="106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Suite 250,</w:t>
            </w:r>
          </w:p>
        </w:tc>
        <w:tc>
          <w:tcPr>
            <w:tcW w:w="334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Bethesda,</w:t>
            </w:r>
          </w:p>
        </w:tc>
        <w:tc>
          <w:tcPr>
            <w:tcW w:w="334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MD 20814 (Montgomery County)</w:t>
            </w:r>
          </w:p>
        </w:tc>
        <w:tc>
          <w:tcPr>
            <w:tcW w:w="334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U.S.A.</w:t>
            </w:r>
          </w:p>
        </w:tc>
        <w:tc>
          <w:tcPr>
            <w:tcW w:w="3340" w:type="dxa"/>
            <w:vAlign w:val="bottom"/>
            <w:shd w:val="clear" w:color="auto" w:fill="CCEEFF"/>
          </w:tcPr>
          <w:p>
            <w:pPr>
              <w:spacing w:after="0"/>
              <w:rPr>
                <w:sz w:val="19"/>
                <w:szCs w:val="19"/>
                <w:color w:val="auto"/>
              </w:rPr>
            </w:pPr>
          </w:p>
        </w:tc>
      </w:tr>
      <w:tr>
        <w:trPr>
          <w:trHeight w:val="212"/>
        </w:trPr>
        <w:tc>
          <w:tcPr>
            <w:tcW w:w="38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00"/>
        </w:trPr>
        <w:tc>
          <w:tcPr>
            <w:tcW w:w="38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PriceSpective, LLC</w:t>
            </w:r>
          </w:p>
        </w:tc>
        <w:tc>
          <w:tcPr>
            <w:tcW w:w="4260" w:type="dxa"/>
            <w:vAlign w:val="bottom"/>
            <w:shd w:val="clear" w:color="auto" w:fill="CCEEFF"/>
          </w:tcPr>
          <w:p>
            <w:pPr>
              <w:ind w:left="760"/>
              <w:spacing w:after="0" w:line="200" w:lineRule="exact"/>
              <w:rPr>
                <w:sz w:val="20"/>
                <w:szCs w:val="20"/>
                <w:color w:val="auto"/>
              </w:rPr>
            </w:pPr>
            <w:r>
              <w:rPr>
                <w:rFonts w:ascii="Arial" w:cs="Arial" w:eastAsia="Arial" w:hAnsi="Arial"/>
                <w:sz w:val="18"/>
                <w:szCs w:val="18"/>
                <w:color w:val="auto"/>
              </w:rPr>
              <w:t>460 Norristown Road</w:t>
            </w:r>
          </w:p>
        </w:tc>
        <w:tc>
          <w:tcPr>
            <w:tcW w:w="3340" w:type="dxa"/>
            <w:vAlign w:val="bottom"/>
            <w:shd w:val="clear" w:color="auto" w:fill="CCEEFF"/>
          </w:tcPr>
          <w:p>
            <w:pPr>
              <w:ind w:left="106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Suite 350</w:t>
            </w:r>
          </w:p>
        </w:tc>
        <w:tc>
          <w:tcPr>
            <w:tcW w:w="334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Blue Bell</w:t>
            </w:r>
          </w:p>
        </w:tc>
        <w:tc>
          <w:tcPr>
            <w:tcW w:w="334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PA 19422</w:t>
            </w:r>
          </w:p>
        </w:tc>
        <w:tc>
          <w:tcPr>
            <w:tcW w:w="334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U.S.A.</w:t>
            </w:r>
          </w:p>
        </w:tc>
        <w:tc>
          <w:tcPr>
            <w:tcW w:w="3340" w:type="dxa"/>
            <w:vAlign w:val="bottom"/>
            <w:shd w:val="clear" w:color="auto" w:fill="CCEEFF"/>
          </w:tcPr>
          <w:p>
            <w:pPr>
              <w:spacing w:after="0"/>
              <w:rPr>
                <w:sz w:val="19"/>
                <w:szCs w:val="19"/>
                <w:color w:val="auto"/>
              </w:rPr>
            </w:pPr>
          </w:p>
        </w:tc>
      </w:tr>
      <w:tr>
        <w:trPr>
          <w:trHeight w:val="212"/>
        </w:trPr>
        <w:tc>
          <w:tcPr>
            <w:tcW w:w="38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198"/>
        </w:trPr>
        <w:tc>
          <w:tcPr>
            <w:tcW w:w="382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color w:val="auto"/>
              </w:rPr>
              <w:t>DOCS Global, Inc.</w:t>
            </w:r>
          </w:p>
        </w:tc>
        <w:tc>
          <w:tcPr>
            <w:tcW w:w="4260" w:type="dxa"/>
            <w:vAlign w:val="bottom"/>
            <w:shd w:val="clear" w:color="auto" w:fill="CCEEFF"/>
          </w:tcPr>
          <w:p>
            <w:pPr>
              <w:ind w:left="760"/>
              <w:spacing w:after="0" w:line="198" w:lineRule="exact"/>
              <w:rPr>
                <w:sz w:val="20"/>
                <w:szCs w:val="20"/>
                <w:color w:val="auto"/>
              </w:rPr>
            </w:pPr>
            <w:r>
              <w:rPr>
                <w:rFonts w:ascii="Arial" w:cs="Arial" w:eastAsia="Arial" w:hAnsi="Arial"/>
                <w:sz w:val="18"/>
                <w:szCs w:val="18"/>
                <w:color w:val="auto"/>
              </w:rPr>
              <w:t>2 Grand Central Tower,</w:t>
            </w:r>
          </w:p>
        </w:tc>
        <w:tc>
          <w:tcPr>
            <w:tcW w:w="3340" w:type="dxa"/>
            <w:vAlign w:val="bottom"/>
            <w:shd w:val="clear" w:color="auto" w:fill="CCEEFF"/>
          </w:tcPr>
          <w:p>
            <w:pPr>
              <w:ind w:left="1060"/>
              <w:spacing w:after="0" w:line="198"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line="212" w:lineRule="exact"/>
              <w:rPr>
                <w:sz w:val="20"/>
                <w:szCs w:val="20"/>
                <w:color w:val="auto"/>
              </w:rPr>
            </w:pPr>
            <w:r>
              <w:rPr>
                <w:rFonts w:ascii="Arial" w:cs="Arial" w:eastAsia="Arial" w:hAnsi="Arial"/>
                <w:sz w:val="18"/>
                <w:szCs w:val="18"/>
                <w:color w:val="auto"/>
              </w:rPr>
              <w:t>140 East 45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Street,</w:t>
            </w:r>
          </w:p>
        </w:tc>
        <w:tc>
          <w:tcPr>
            <w:tcW w:w="3340" w:type="dxa"/>
            <w:vAlign w:val="bottom"/>
            <w:shd w:val="clear" w:color="auto" w:fill="CCEEFF"/>
          </w:tcPr>
          <w:p>
            <w:pPr>
              <w:spacing w:after="0"/>
              <w:rPr>
                <w:sz w:val="18"/>
                <w:szCs w:val="18"/>
                <w:color w:val="auto"/>
              </w:rPr>
            </w:pPr>
          </w:p>
        </w:tc>
      </w:tr>
      <w:tr>
        <w:trPr>
          <w:trHeight w:val="214"/>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line="214" w:lineRule="exact"/>
              <w:rPr>
                <w:sz w:val="20"/>
                <w:szCs w:val="20"/>
                <w:color w:val="auto"/>
              </w:rPr>
            </w:pPr>
            <w:r>
              <w:rPr>
                <w:rFonts w:ascii="Arial" w:cs="Arial" w:eastAsia="Arial" w:hAnsi="Arial"/>
                <w:sz w:val="18"/>
                <w:szCs w:val="18"/>
                <w:color w:val="auto"/>
              </w:rPr>
              <w:t>12</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w:t>
            </w:r>
          </w:p>
        </w:tc>
        <w:tc>
          <w:tcPr>
            <w:tcW w:w="334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New York,</w:t>
            </w:r>
          </w:p>
        </w:tc>
        <w:tc>
          <w:tcPr>
            <w:tcW w:w="334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NY 10017</w:t>
            </w:r>
          </w:p>
        </w:tc>
        <w:tc>
          <w:tcPr>
            <w:tcW w:w="334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U.S.A.</w:t>
            </w:r>
          </w:p>
        </w:tc>
        <w:tc>
          <w:tcPr>
            <w:tcW w:w="3340" w:type="dxa"/>
            <w:vAlign w:val="bottom"/>
            <w:shd w:val="clear" w:color="auto" w:fill="CCEEFF"/>
          </w:tcPr>
          <w:p>
            <w:pPr>
              <w:spacing w:after="0"/>
              <w:rPr>
                <w:sz w:val="19"/>
                <w:szCs w:val="19"/>
                <w:color w:val="auto"/>
              </w:rPr>
            </w:pPr>
          </w:p>
        </w:tc>
      </w:tr>
      <w:tr>
        <w:trPr>
          <w:trHeight w:val="212"/>
        </w:trPr>
        <w:tc>
          <w:tcPr>
            <w:tcW w:w="38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00"/>
        </w:trPr>
        <w:tc>
          <w:tcPr>
            <w:tcW w:w="38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ClinForce, LLC</w:t>
            </w:r>
          </w:p>
        </w:tc>
        <w:tc>
          <w:tcPr>
            <w:tcW w:w="4260" w:type="dxa"/>
            <w:vAlign w:val="bottom"/>
            <w:shd w:val="clear" w:color="auto" w:fill="CCEEFF"/>
          </w:tcPr>
          <w:p>
            <w:pPr>
              <w:ind w:left="760"/>
              <w:spacing w:after="0" w:line="200" w:lineRule="exact"/>
              <w:rPr>
                <w:sz w:val="20"/>
                <w:szCs w:val="20"/>
                <w:color w:val="auto"/>
              </w:rPr>
            </w:pPr>
            <w:r>
              <w:rPr>
                <w:rFonts w:ascii="Arial" w:cs="Arial" w:eastAsia="Arial" w:hAnsi="Arial"/>
                <w:sz w:val="18"/>
                <w:szCs w:val="18"/>
                <w:color w:val="auto"/>
              </w:rPr>
              <w:t>4815 Emperor Boulevard,</w:t>
            </w:r>
          </w:p>
        </w:tc>
        <w:tc>
          <w:tcPr>
            <w:tcW w:w="3340" w:type="dxa"/>
            <w:vAlign w:val="bottom"/>
            <w:shd w:val="clear" w:color="auto" w:fill="CCEEFF"/>
          </w:tcPr>
          <w:p>
            <w:pPr>
              <w:ind w:left="106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Suite 300,</w:t>
            </w:r>
          </w:p>
        </w:tc>
        <w:tc>
          <w:tcPr>
            <w:tcW w:w="334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Durham,</w:t>
            </w:r>
          </w:p>
        </w:tc>
        <w:tc>
          <w:tcPr>
            <w:tcW w:w="334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NC 27703,</w:t>
            </w:r>
          </w:p>
        </w:tc>
        <w:tc>
          <w:tcPr>
            <w:tcW w:w="334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U.S.A.</w:t>
            </w:r>
          </w:p>
        </w:tc>
        <w:tc>
          <w:tcPr>
            <w:tcW w:w="3340" w:type="dxa"/>
            <w:vAlign w:val="bottom"/>
            <w:shd w:val="clear" w:color="auto" w:fill="CCEEFF"/>
          </w:tcPr>
          <w:p>
            <w:pPr>
              <w:spacing w:after="0"/>
              <w:rPr>
                <w:sz w:val="19"/>
                <w:szCs w:val="19"/>
                <w:color w:val="auto"/>
              </w:rPr>
            </w:pPr>
          </w:p>
        </w:tc>
      </w:tr>
      <w:tr>
        <w:trPr>
          <w:trHeight w:val="212"/>
        </w:trPr>
        <w:tc>
          <w:tcPr>
            <w:tcW w:w="38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00"/>
        </w:trPr>
        <w:tc>
          <w:tcPr>
            <w:tcW w:w="38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Assent Consulting, Inc.</w:t>
            </w:r>
          </w:p>
        </w:tc>
        <w:tc>
          <w:tcPr>
            <w:tcW w:w="4260" w:type="dxa"/>
            <w:vAlign w:val="bottom"/>
            <w:shd w:val="clear" w:color="auto" w:fill="CCEEFF"/>
          </w:tcPr>
          <w:p>
            <w:pPr>
              <w:ind w:left="760"/>
              <w:spacing w:after="0" w:line="200" w:lineRule="exact"/>
              <w:rPr>
                <w:sz w:val="20"/>
                <w:szCs w:val="20"/>
                <w:color w:val="auto"/>
              </w:rPr>
            </w:pPr>
            <w:r>
              <w:rPr>
                <w:rFonts w:ascii="Arial" w:cs="Arial" w:eastAsia="Arial" w:hAnsi="Arial"/>
                <w:sz w:val="18"/>
                <w:szCs w:val="18"/>
                <w:color w:val="auto"/>
              </w:rPr>
              <w:t>380 Stevens Avenue,</w:t>
            </w:r>
          </w:p>
        </w:tc>
        <w:tc>
          <w:tcPr>
            <w:tcW w:w="3340" w:type="dxa"/>
            <w:vAlign w:val="bottom"/>
            <w:shd w:val="clear" w:color="auto" w:fill="CCEEFF"/>
          </w:tcPr>
          <w:p>
            <w:pPr>
              <w:ind w:left="106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Suite 120,</w:t>
            </w:r>
          </w:p>
        </w:tc>
        <w:tc>
          <w:tcPr>
            <w:tcW w:w="334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Solana Beach,</w:t>
            </w:r>
          </w:p>
        </w:tc>
        <w:tc>
          <w:tcPr>
            <w:tcW w:w="334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CA 92075,</w:t>
            </w:r>
          </w:p>
        </w:tc>
        <w:tc>
          <w:tcPr>
            <w:tcW w:w="334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U.S.A.</w:t>
            </w:r>
          </w:p>
        </w:tc>
        <w:tc>
          <w:tcPr>
            <w:tcW w:w="3340" w:type="dxa"/>
            <w:vAlign w:val="bottom"/>
            <w:shd w:val="clear" w:color="auto" w:fill="CCEEFF"/>
          </w:tcPr>
          <w:p>
            <w:pPr>
              <w:spacing w:after="0"/>
              <w:rPr>
                <w:sz w:val="19"/>
                <w:szCs w:val="19"/>
                <w:color w:val="auto"/>
              </w:rPr>
            </w:pPr>
          </w:p>
        </w:tc>
      </w:tr>
      <w:tr>
        <w:trPr>
          <w:trHeight w:val="212"/>
        </w:trPr>
        <w:tc>
          <w:tcPr>
            <w:tcW w:w="38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00"/>
        </w:trPr>
        <w:tc>
          <w:tcPr>
            <w:tcW w:w="38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DOCS International Belgium N.V</w:t>
            </w:r>
          </w:p>
        </w:tc>
        <w:tc>
          <w:tcPr>
            <w:tcW w:w="4260" w:type="dxa"/>
            <w:vAlign w:val="bottom"/>
            <w:shd w:val="clear" w:color="auto" w:fill="CCEEFF"/>
          </w:tcPr>
          <w:p>
            <w:pPr>
              <w:ind w:left="760"/>
              <w:spacing w:after="0" w:line="200" w:lineRule="exact"/>
              <w:rPr>
                <w:sz w:val="20"/>
                <w:szCs w:val="20"/>
                <w:color w:val="auto"/>
              </w:rPr>
            </w:pPr>
            <w:r>
              <w:rPr>
                <w:rFonts w:ascii="Arial" w:cs="Arial" w:eastAsia="Arial" w:hAnsi="Arial"/>
                <w:sz w:val="18"/>
                <w:szCs w:val="18"/>
                <w:color w:val="auto"/>
              </w:rPr>
              <w:t>Pegasuslaan 5</w:t>
            </w:r>
          </w:p>
        </w:tc>
        <w:tc>
          <w:tcPr>
            <w:tcW w:w="3340" w:type="dxa"/>
            <w:vAlign w:val="bottom"/>
            <w:shd w:val="clear" w:color="auto" w:fill="CCEEFF"/>
          </w:tcPr>
          <w:p>
            <w:pPr>
              <w:ind w:left="106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1831 Diegem</w:t>
            </w:r>
          </w:p>
        </w:tc>
        <w:tc>
          <w:tcPr>
            <w:tcW w:w="334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Belgium</w:t>
            </w:r>
          </w:p>
        </w:tc>
        <w:tc>
          <w:tcPr>
            <w:tcW w:w="3340" w:type="dxa"/>
            <w:vAlign w:val="bottom"/>
            <w:shd w:val="clear" w:color="auto" w:fill="CCEEFF"/>
          </w:tcPr>
          <w:p>
            <w:pPr>
              <w:spacing w:after="0"/>
              <w:rPr>
                <w:sz w:val="19"/>
                <w:szCs w:val="19"/>
                <w:color w:val="auto"/>
              </w:rPr>
            </w:pPr>
          </w:p>
        </w:tc>
      </w:tr>
      <w:tr>
        <w:trPr>
          <w:trHeight w:val="212"/>
        </w:trPr>
        <w:tc>
          <w:tcPr>
            <w:tcW w:w="38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00"/>
        </w:trPr>
        <w:tc>
          <w:tcPr>
            <w:tcW w:w="38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Clinical Research EOOD</w:t>
            </w:r>
          </w:p>
        </w:tc>
        <w:tc>
          <w:tcPr>
            <w:tcW w:w="4260" w:type="dxa"/>
            <w:vAlign w:val="bottom"/>
            <w:shd w:val="clear" w:color="auto" w:fill="CCEEFF"/>
          </w:tcPr>
          <w:p>
            <w:pPr>
              <w:ind w:left="760"/>
              <w:spacing w:after="0" w:line="200" w:lineRule="exact"/>
              <w:rPr>
                <w:sz w:val="20"/>
                <w:szCs w:val="20"/>
                <w:color w:val="auto"/>
              </w:rPr>
            </w:pPr>
            <w:r>
              <w:rPr>
                <w:rFonts w:ascii="Arial" w:cs="Arial" w:eastAsia="Arial" w:hAnsi="Arial"/>
                <w:sz w:val="18"/>
                <w:szCs w:val="18"/>
                <w:color w:val="auto"/>
              </w:rPr>
              <w:t>2A, Saborna Str.,</w:t>
            </w:r>
          </w:p>
        </w:tc>
        <w:tc>
          <w:tcPr>
            <w:tcW w:w="3340" w:type="dxa"/>
            <w:vAlign w:val="bottom"/>
            <w:shd w:val="clear" w:color="auto" w:fill="CCEEFF"/>
          </w:tcPr>
          <w:p>
            <w:pPr>
              <w:ind w:left="106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4th floor, Sofia – 1000,</w:t>
            </w:r>
          </w:p>
        </w:tc>
        <w:tc>
          <w:tcPr>
            <w:tcW w:w="334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4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Republic of Bulgaria</w:t>
            </w:r>
          </w:p>
        </w:tc>
        <w:tc>
          <w:tcPr>
            <w:tcW w:w="3340" w:type="dxa"/>
            <w:vAlign w:val="bottom"/>
            <w:shd w:val="clear" w:color="auto" w:fill="CCEEFF"/>
          </w:tcPr>
          <w:p>
            <w:pPr>
              <w:spacing w:after="0"/>
              <w:rPr>
                <w:sz w:val="19"/>
                <w:szCs w:val="19"/>
                <w:color w:val="auto"/>
              </w:rPr>
            </w:pPr>
          </w:p>
        </w:tc>
      </w:tr>
      <w:tr>
        <w:trPr>
          <w:trHeight w:val="596"/>
        </w:trPr>
        <w:tc>
          <w:tcPr>
            <w:tcW w:w="3820" w:type="dxa"/>
            <w:vAlign w:val="bottom"/>
          </w:tcPr>
          <w:p>
            <w:pPr>
              <w:spacing w:after="0"/>
              <w:rPr>
                <w:sz w:val="24"/>
                <w:szCs w:val="24"/>
                <w:color w:val="auto"/>
              </w:rPr>
            </w:pPr>
          </w:p>
        </w:tc>
        <w:tc>
          <w:tcPr>
            <w:tcW w:w="4260" w:type="dxa"/>
            <w:vAlign w:val="bottom"/>
          </w:tcPr>
          <w:p>
            <w:pPr>
              <w:ind w:left="1800"/>
              <w:spacing w:after="0"/>
              <w:rPr>
                <w:sz w:val="20"/>
                <w:szCs w:val="20"/>
                <w:color w:val="auto"/>
              </w:rPr>
            </w:pPr>
            <w:r>
              <w:rPr>
                <w:rFonts w:ascii="Arial" w:cs="Arial" w:eastAsia="Arial" w:hAnsi="Arial"/>
                <w:sz w:val="18"/>
                <w:szCs w:val="18"/>
                <w:color w:val="auto"/>
              </w:rPr>
              <w:t>95</w:t>
            </w:r>
          </w:p>
        </w:tc>
        <w:tc>
          <w:tcPr>
            <w:tcW w:w="3340" w:type="dxa"/>
            <w:vAlign w:val="bottom"/>
          </w:tcPr>
          <w:p>
            <w:pPr>
              <w:spacing w:after="0"/>
              <w:rPr>
                <w:sz w:val="24"/>
                <w:szCs w:val="24"/>
                <w:color w:val="auto"/>
              </w:rPr>
            </w:pPr>
          </w:p>
        </w:tc>
      </w:tr>
      <w:tr>
        <w:trPr>
          <w:trHeight w:val="117"/>
        </w:trPr>
        <w:tc>
          <w:tcPr>
            <w:tcW w:w="3820" w:type="dxa"/>
            <w:vAlign w:val="bottom"/>
            <w:tcBorders>
              <w:bottom w:val="single" w:sz="8" w:color="808080"/>
            </w:tcBorders>
          </w:tcPr>
          <w:p>
            <w:pPr>
              <w:spacing w:after="0"/>
              <w:rPr>
                <w:sz w:val="10"/>
                <w:szCs w:val="10"/>
                <w:color w:val="auto"/>
              </w:rPr>
            </w:pPr>
          </w:p>
        </w:tc>
        <w:tc>
          <w:tcPr>
            <w:tcW w:w="4260" w:type="dxa"/>
            <w:vAlign w:val="bottom"/>
            <w:tcBorders>
              <w:bottom w:val="single" w:sz="8" w:color="808080"/>
            </w:tcBorders>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80" w:type="dxa"/>
            <w:vAlign w:val="bottom"/>
          </w:tcPr>
          <w:p>
            <w:pPr>
              <w:spacing w:after="0"/>
              <w:rPr>
                <w:sz w:val="20"/>
                <w:szCs w:val="20"/>
                <w:color w:val="auto"/>
              </w:rPr>
            </w:pPr>
            <w:r>
              <w:rPr>
                <w:rFonts w:ascii="Arial" w:cs="Arial" w:eastAsia="Arial" w:hAnsi="Arial"/>
                <w:sz w:val="18"/>
                <w:szCs w:val="18"/>
                <w:b w:val="1"/>
                <w:bCs w:val="1"/>
                <w:color w:val="auto"/>
              </w:rPr>
              <w:t xml:space="preserve">31. Subsidiary Undertakings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tc>
        <w:tc>
          <w:tcPr>
            <w:tcW w:w="36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9"/>
        </w:trPr>
        <w:tc>
          <w:tcPr>
            <w:tcW w:w="43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420" w:type="dxa"/>
            <w:vAlign w:val="bottom"/>
          </w:tcPr>
          <w:p>
            <w:pPr>
              <w:ind w:left="1140"/>
              <w:spacing w:after="0"/>
              <w:rPr>
                <w:sz w:val="20"/>
                <w:szCs w:val="20"/>
                <w:color w:val="auto"/>
              </w:rPr>
            </w:pPr>
            <w:r>
              <w:rPr>
                <w:rFonts w:ascii="Arial" w:cs="Arial" w:eastAsia="Arial" w:hAnsi="Arial"/>
                <w:sz w:val="18"/>
                <w:szCs w:val="18"/>
                <w:b w:val="1"/>
                <w:bCs w:val="1"/>
                <w:i w:val="1"/>
                <w:iCs w:val="1"/>
                <w:color w:val="auto"/>
              </w:rPr>
              <w:t>Proportion held by</w:t>
            </w:r>
          </w:p>
        </w:tc>
      </w:tr>
      <w:tr>
        <w:trPr>
          <w:trHeight w:val="224"/>
        </w:trPr>
        <w:tc>
          <w:tcPr>
            <w:tcW w:w="43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Name</w:t>
            </w:r>
          </w:p>
        </w:tc>
        <w:tc>
          <w:tcPr>
            <w:tcW w:w="362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Registered Office</w:t>
            </w:r>
          </w:p>
        </w:tc>
        <w:tc>
          <w:tcPr>
            <w:tcW w:w="3420" w:type="dxa"/>
            <w:vAlign w:val="bottom"/>
          </w:tcPr>
          <w:p>
            <w:pPr>
              <w:ind w:left="1140"/>
              <w:spacing w:after="0"/>
              <w:rPr>
                <w:sz w:val="20"/>
                <w:szCs w:val="20"/>
                <w:color w:val="auto"/>
              </w:rPr>
            </w:pPr>
            <w:r>
              <w:rPr>
                <w:rFonts w:ascii="Arial" w:cs="Arial" w:eastAsia="Arial" w:hAnsi="Arial"/>
                <w:sz w:val="18"/>
                <w:szCs w:val="18"/>
                <w:b w:val="1"/>
                <w:bCs w:val="1"/>
                <w:i w:val="1"/>
                <w:iCs w:val="1"/>
                <w:color w:val="auto"/>
              </w:rPr>
              <w:t>group</w:t>
            </w:r>
          </w:p>
        </w:tc>
      </w:tr>
      <w:tr>
        <w:trPr>
          <w:trHeight w:val="200"/>
        </w:trPr>
        <w:tc>
          <w:tcPr>
            <w:tcW w:w="4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ICON Research Ltd. (Ispitivanja ICON d.o.o)</w:t>
            </w:r>
          </w:p>
        </w:tc>
        <w:tc>
          <w:tcPr>
            <w:tcW w:w="36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Radnicka cesta 80,</w:t>
            </w:r>
          </w:p>
        </w:tc>
        <w:tc>
          <w:tcPr>
            <w:tcW w:w="3420" w:type="dxa"/>
            <w:vAlign w:val="bottom"/>
            <w:shd w:val="clear" w:color="auto" w:fill="CCEEFF"/>
          </w:tcPr>
          <w:p>
            <w:pPr>
              <w:ind w:left="1140"/>
              <w:spacing w:after="0" w:line="201" w:lineRule="exact"/>
              <w:rPr>
                <w:sz w:val="20"/>
                <w:szCs w:val="20"/>
                <w:color w:val="auto"/>
              </w:rPr>
            </w:pPr>
            <w:r>
              <w:rPr>
                <w:rFonts w:ascii="Arial" w:cs="Arial" w:eastAsia="Arial" w:hAnsi="Arial"/>
                <w:sz w:val="18"/>
                <w:szCs w:val="18"/>
                <w:color w:val="auto"/>
              </w:rPr>
              <w:t>100%</w:t>
            </w:r>
          </w:p>
        </w:tc>
      </w:tr>
      <w:tr>
        <w:trPr>
          <w:trHeight w:val="212"/>
        </w:trPr>
        <w:tc>
          <w:tcPr>
            <w:tcW w:w="4380" w:type="dxa"/>
            <w:vAlign w:val="bottom"/>
            <w:shd w:val="clear" w:color="auto" w:fill="CCEEFF"/>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10000 Zagreb,</w:t>
            </w:r>
          </w:p>
        </w:tc>
        <w:tc>
          <w:tcPr>
            <w:tcW w:w="3420" w:type="dxa"/>
            <w:vAlign w:val="bottom"/>
            <w:shd w:val="clear" w:color="auto" w:fill="CCEEFF"/>
          </w:tcPr>
          <w:p>
            <w:pPr>
              <w:spacing w:after="0"/>
              <w:rPr>
                <w:sz w:val="18"/>
                <w:szCs w:val="18"/>
                <w:color w:val="auto"/>
              </w:rPr>
            </w:pPr>
          </w:p>
        </w:tc>
      </w:tr>
      <w:tr>
        <w:trPr>
          <w:trHeight w:val="225"/>
        </w:trPr>
        <w:tc>
          <w:tcPr>
            <w:tcW w:w="4380" w:type="dxa"/>
            <w:vAlign w:val="bottom"/>
            <w:shd w:val="clear" w:color="auto" w:fill="CCEEFF"/>
          </w:tcPr>
          <w:p>
            <w:pPr>
              <w:spacing w:after="0"/>
              <w:rPr>
                <w:sz w:val="19"/>
                <w:szCs w:val="19"/>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Croatia</w:t>
            </w:r>
          </w:p>
        </w:tc>
        <w:tc>
          <w:tcPr>
            <w:tcW w:w="3420" w:type="dxa"/>
            <w:vAlign w:val="bottom"/>
            <w:shd w:val="clear" w:color="auto" w:fill="CCEEFF"/>
          </w:tcPr>
          <w:p>
            <w:pPr>
              <w:spacing w:after="0"/>
              <w:rPr>
                <w:sz w:val="19"/>
                <w:szCs w:val="19"/>
                <w:color w:val="auto"/>
              </w:rPr>
            </w:pPr>
          </w:p>
        </w:tc>
      </w:tr>
      <w:tr>
        <w:trPr>
          <w:trHeight w:val="212"/>
        </w:trPr>
        <w:tc>
          <w:tcPr>
            <w:tcW w:w="4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00"/>
        </w:trPr>
        <w:tc>
          <w:tcPr>
            <w:tcW w:w="438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Clinical Research s.r.o.</w:t>
            </w:r>
          </w:p>
        </w:tc>
        <w:tc>
          <w:tcPr>
            <w:tcW w:w="362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Praha 4 - Chodov,</w:t>
            </w:r>
          </w:p>
        </w:tc>
        <w:tc>
          <w:tcPr>
            <w:tcW w:w="3420" w:type="dxa"/>
            <w:vAlign w:val="bottom"/>
            <w:shd w:val="clear" w:color="auto" w:fill="CCEEFF"/>
          </w:tcPr>
          <w:p>
            <w:pPr>
              <w:ind w:left="11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380" w:type="dxa"/>
            <w:vAlign w:val="bottom"/>
            <w:shd w:val="clear" w:color="auto" w:fill="CCEEFF"/>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 parku 2335/20,</w:t>
            </w:r>
          </w:p>
        </w:tc>
        <w:tc>
          <w:tcPr>
            <w:tcW w:w="3420" w:type="dxa"/>
            <w:vAlign w:val="bottom"/>
            <w:shd w:val="clear" w:color="auto" w:fill="CCEEFF"/>
          </w:tcPr>
          <w:p>
            <w:pPr>
              <w:spacing w:after="0"/>
              <w:rPr>
                <w:sz w:val="18"/>
                <w:szCs w:val="18"/>
                <w:color w:val="auto"/>
              </w:rPr>
            </w:pPr>
          </w:p>
        </w:tc>
      </w:tr>
      <w:tr>
        <w:trPr>
          <w:trHeight w:val="212"/>
        </w:trPr>
        <w:tc>
          <w:tcPr>
            <w:tcW w:w="4380" w:type="dxa"/>
            <w:vAlign w:val="bottom"/>
            <w:shd w:val="clear" w:color="auto" w:fill="CCEEFF"/>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PSČ 148 00</w:t>
            </w:r>
          </w:p>
        </w:tc>
        <w:tc>
          <w:tcPr>
            <w:tcW w:w="3420" w:type="dxa"/>
            <w:vAlign w:val="bottom"/>
            <w:shd w:val="clear" w:color="auto" w:fill="CCEEFF"/>
          </w:tcPr>
          <w:p>
            <w:pPr>
              <w:spacing w:after="0"/>
              <w:rPr>
                <w:sz w:val="18"/>
                <w:szCs w:val="18"/>
                <w:color w:val="auto"/>
              </w:rPr>
            </w:pPr>
          </w:p>
        </w:tc>
      </w:tr>
      <w:tr>
        <w:trPr>
          <w:trHeight w:val="225"/>
        </w:trPr>
        <w:tc>
          <w:tcPr>
            <w:tcW w:w="4380" w:type="dxa"/>
            <w:vAlign w:val="bottom"/>
            <w:shd w:val="clear" w:color="auto" w:fill="CCEEFF"/>
          </w:tcPr>
          <w:p>
            <w:pPr>
              <w:spacing w:after="0"/>
              <w:rPr>
                <w:sz w:val="19"/>
                <w:szCs w:val="19"/>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Czech Republic</w:t>
            </w:r>
          </w:p>
        </w:tc>
        <w:tc>
          <w:tcPr>
            <w:tcW w:w="3420" w:type="dxa"/>
            <w:vAlign w:val="bottom"/>
            <w:shd w:val="clear" w:color="auto" w:fill="CCEEFF"/>
          </w:tcPr>
          <w:p>
            <w:pPr>
              <w:spacing w:after="0"/>
              <w:rPr>
                <w:sz w:val="19"/>
                <w:szCs w:val="19"/>
                <w:color w:val="auto"/>
              </w:rPr>
            </w:pPr>
          </w:p>
        </w:tc>
      </w:tr>
      <w:tr>
        <w:trPr>
          <w:trHeight w:val="212"/>
        </w:trPr>
        <w:tc>
          <w:tcPr>
            <w:tcW w:w="4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00"/>
        </w:trPr>
        <w:tc>
          <w:tcPr>
            <w:tcW w:w="438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DOCS International Nordic Countries A/S</w:t>
            </w:r>
          </w:p>
        </w:tc>
        <w:tc>
          <w:tcPr>
            <w:tcW w:w="362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Tuborg Boulevard 12,</w:t>
            </w:r>
          </w:p>
        </w:tc>
        <w:tc>
          <w:tcPr>
            <w:tcW w:w="3420" w:type="dxa"/>
            <w:vAlign w:val="bottom"/>
            <w:shd w:val="clear" w:color="auto" w:fill="CCEEFF"/>
          </w:tcPr>
          <w:p>
            <w:pPr>
              <w:ind w:left="11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380" w:type="dxa"/>
            <w:vAlign w:val="bottom"/>
            <w:shd w:val="clear" w:color="auto" w:fill="CCEEFF"/>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2900 Hellerup</w:t>
            </w:r>
          </w:p>
        </w:tc>
        <w:tc>
          <w:tcPr>
            <w:tcW w:w="3420" w:type="dxa"/>
            <w:vAlign w:val="bottom"/>
            <w:shd w:val="clear" w:color="auto" w:fill="CCEEFF"/>
          </w:tcPr>
          <w:p>
            <w:pPr>
              <w:spacing w:after="0"/>
              <w:rPr>
                <w:sz w:val="18"/>
                <w:szCs w:val="18"/>
                <w:color w:val="auto"/>
              </w:rPr>
            </w:pPr>
          </w:p>
        </w:tc>
      </w:tr>
      <w:tr>
        <w:trPr>
          <w:trHeight w:val="225"/>
        </w:trPr>
        <w:tc>
          <w:tcPr>
            <w:tcW w:w="4380" w:type="dxa"/>
            <w:vAlign w:val="bottom"/>
            <w:shd w:val="clear" w:color="auto" w:fill="CCEEFF"/>
          </w:tcPr>
          <w:p>
            <w:pPr>
              <w:spacing w:after="0"/>
              <w:rPr>
                <w:sz w:val="19"/>
                <w:szCs w:val="19"/>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Denmark</w:t>
            </w:r>
          </w:p>
        </w:tc>
        <w:tc>
          <w:tcPr>
            <w:tcW w:w="3420" w:type="dxa"/>
            <w:vAlign w:val="bottom"/>
            <w:shd w:val="clear" w:color="auto" w:fill="CCEEFF"/>
          </w:tcPr>
          <w:p>
            <w:pPr>
              <w:spacing w:after="0"/>
              <w:rPr>
                <w:sz w:val="19"/>
                <w:szCs w:val="19"/>
                <w:color w:val="auto"/>
              </w:rPr>
            </w:pPr>
          </w:p>
        </w:tc>
      </w:tr>
      <w:tr>
        <w:trPr>
          <w:trHeight w:val="212"/>
        </w:trPr>
        <w:tc>
          <w:tcPr>
            <w:tcW w:w="4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00"/>
        </w:trPr>
        <w:tc>
          <w:tcPr>
            <w:tcW w:w="438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DOCS International Finland Oy</w:t>
            </w:r>
          </w:p>
        </w:tc>
        <w:tc>
          <w:tcPr>
            <w:tcW w:w="362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Mannerheimintie 12 B 5th Floor</w:t>
            </w:r>
          </w:p>
        </w:tc>
        <w:tc>
          <w:tcPr>
            <w:tcW w:w="3420" w:type="dxa"/>
            <w:vAlign w:val="bottom"/>
            <w:shd w:val="clear" w:color="auto" w:fill="CCEEFF"/>
          </w:tcPr>
          <w:p>
            <w:pPr>
              <w:ind w:left="11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380" w:type="dxa"/>
            <w:vAlign w:val="bottom"/>
            <w:shd w:val="clear" w:color="auto" w:fill="CCEEFF"/>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FIN-00100 Helsinki</w:t>
            </w:r>
          </w:p>
        </w:tc>
        <w:tc>
          <w:tcPr>
            <w:tcW w:w="3420" w:type="dxa"/>
            <w:vAlign w:val="bottom"/>
            <w:shd w:val="clear" w:color="auto" w:fill="CCEEFF"/>
          </w:tcPr>
          <w:p>
            <w:pPr>
              <w:spacing w:after="0"/>
              <w:rPr>
                <w:sz w:val="18"/>
                <w:szCs w:val="18"/>
                <w:color w:val="auto"/>
              </w:rPr>
            </w:pPr>
          </w:p>
        </w:tc>
      </w:tr>
      <w:tr>
        <w:trPr>
          <w:trHeight w:val="225"/>
        </w:trPr>
        <w:tc>
          <w:tcPr>
            <w:tcW w:w="4380" w:type="dxa"/>
            <w:vAlign w:val="bottom"/>
            <w:shd w:val="clear" w:color="auto" w:fill="CCEEFF"/>
          </w:tcPr>
          <w:p>
            <w:pPr>
              <w:spacing w:after="0"/>
              <w:rPr>
                <w:sz w:val="19"/>
                <w:szCs w:val="19"/>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Finland</w:t>
            </w:r>
          </w:p>
        </w:tc>
        <w:tc>
          <w:tcPr>
            <w:tcW w:w="3420" w:type="dxa"/>
            <w:vAlign w:val="bottom"/>
            <w:shd w:val="clear" w:color="auto" w:fill="CCEEFF"/>
          </w:tcPr>
          <w:p>
            <w:pPr>
              <w:spacing w:after="0"/>
              <w:rPr>
                <w:sz w:val="19"/>
                <w:szCs w:val="19"/>
                <w:color w:val="auto"/>
              </w:rPr>
            </w:pPr>
          </w:p>
        </w:tc>
      </w:tr>
      <w:tr>
        <w:trPr>
          <w:trHeight w:val="212"/>
        </w:trPr>
        <w:tc>
          <w:tcPr>
            <w:tcW w:w="4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00"/>
        </w:trPr>
        <w:tc>
          <w:tcPr>
            <w:tcW w:w="438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Clinical Research S.A.R.L.</w:t>
            </w:r>
          </w:p>
        </w:tc>
        <w:tc>
          <w:tcPr>
            <w:tcW w:w="362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20 Rue Troyon</w:t>
            </w:r>
          </w:p>
        </w:tc>
        <w:tc>
          <w:tcPr>
            <w:tcW w:w="3420" w:type="dxa"/>
            <w:vAlign w:val="bottom"/>
            <w:shd w:val="clear" w:color="auto" w:fill="CCEEFF"/>
          </w:tcPr>
          <w:p>
            <w:pPr>
              <w:ind w:left="11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380" w:type="dxa"/>
            <w:vAlign w:val="bottom"/>
            <w:shd w:val="clear" w:color="auto" w:fill="CCEEFF"/>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92316 Servres Cedex</w:t>
            </w:r>
          </w:p>
        </w:tc>
        <w:tc>
          <w:tcPr>
            <w:tcW w:w="3420" w:type="dxa"/>
            <w:vAlign w:val="bottom"/>
            <w:shd w:val="clear" w:color="auto" w:fill="CCEEFF"/>
          </w:tcPr>
          <w:p>
            <w:pPr>
              <w:spacing w:after="0"/>
              <w:rPr>
                <w:sz w:val="18"/>
                <w:szCs w:val="18"/>
                <w:color w:val="auto"/>
              </w:rPr>
            </w:pPr>
          </w:p>
        </w:tc>
      </w:tr>
      <w:tr>
        <w:trPr>
          <w:trHeight w:val="225"/>
        </w:trPr>
        <w:tc>
          <w:tcPr>
            <w:tcW w:w="4380" w:type="dxa"/>
            <w:vAlign w:val="bottom"/>
            <w:shd w:val="clear" w:color="auto" w:fill="CCEEFF"/>
          </w:tcPr>
          <w:p>
            <w:pPr>
              <w:spacing w:after="0"/>
              <w:rPr>
                <w:sz w:val="19"/>
                <w:szCs w:val="19"/>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France</w:t>
            </w:r>
          </w:p>
        </w:tc>
        <w:tc>
          <w:tcPr>
            <w:tcW w:w="3420" w:type="dxa"/>
            <w:vAlign w:val="bottom"/>
            <w:shd w:val="clear" w:color="auto" w:fill="CCEEFF"/>
          </w:tcPr>
          <w:p>
            <w:pPr>
              <w:spacing w:after="0"/>
              <w:rPr>
                <w:sz w:val="19"/>
                <w:szCs w:val="19"/>
                <w:color w:val="auto"/>
              </w:rPr>
            </w:pPr>
          </w:p>
        </w:tc>
      </w:tr>
      <w:tr>
        <w:trPr>
          <w:trHeight w:val="212"/>
        </w:trPr>
        <w:tc>
          <w:tcPr>
            <w:tcW w:w="4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00"/>
        </w:trPr>
        <w:tc>
          <w:tcPr>
            <w:tcW w:w="438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DOCS International France S.A.S.</w:t>
            </w:r>
          </w:p>
        </w:tc>
        <w:tc>
          <w:tcPr>
            <w:tcW w:w="362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20 Rue Troyon</w:t>
            </w:r>
          </w:p>
        </w:tc>
        <w:tc>
          <w:tcPr>
            <w:tcW w:w="3420" w:type="dxa"/>
            <w:vAlign w:val="bottom"/>
            <w:shd w:val="clear" w:color="auto" w:fill="CCEEFF"/>
          </w:tcPr>
          <w:p>
            <w:pPr>
              <w:ind w:left="11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380" w:type="dxa"/>
            <w:vAlign w:val="bottom"/>
            <w:shd w:val="clear" w:color="auto" w:fill="CCEEFF"/>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92310 Sevres</w:t>
            </w:r>
          </w:p>
        </w:tc>
        <w:tc>
          <w:tcPr>
            <w:tcW w:w="3420" w:type="dxa"/>
            <w:vAlign w:val="bottom"/>
            <w:shd w:val="clear" w:color="auto" w:fill="CCEEFF"/>
          </w:tcPr>
          <w:p>
            <w:pPr>
              <w:spacing w:after="0"/>
              <w:rPr>
                <w:sz w:val="18"/>
                <w:szCs w:val="18"/>
                <w:color w:val="auto"/>
              </w:rPr>
            </w:pPr>
          </w:p>
        </w:tc>
      </w:tr>
      <w:tr>
        <w:trPr>
          <w:trHeight w:val="225"/>
        </w:trPr>
        <w:tc>
          <w:tcPr>
            <w:tcW w:w="4380" w:type="dxa"/>
            <w:vAlign w:val="bottom"/>
            <w:shd w:val="clear" w:color="auto" w:fill="CCEEFF"/>
          </w:tcPr>
          <w:p>
            <w:pPr>
              <w:spacing w:after="0"/>
              <w:rPr>
                <w:sz w:val="19"/>
                <w:szCs w:val="19"/>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France</w:t>
            </w:r>
          </w:p>
        </w:tc>
        <w:tc>
          <w:tcPr>
            <w:tcW w:w="3420" w:type="dxa"/>
            <w:vAlign w:val="bottom"/>
            <w:shd w:val="clear" w:color="auto" w:fill="CCEEFF"/>
          </w:tcPr>
          <w:p>
            <w:pPr>
              <w:spacing w:after="0"/>
              <w:rPr>
                <w:sz w:val="19"/>
                <w:szCs w:val="19"/>
                <w:color w:val="auto"/>
              </w:rPr>
            </w:pPr>
          </w:p>
        </w:tc>
      </w:tr>
      <w:tr>
        <w:trPr>
          <w:trHeight w:val="212"/>
        </w:trPr>
        <w:tc>
          <w:tcPr>
            <w:tcW w:w="4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00"/>
        </w:trPr>
        <w:tc>
          <w:tcPr>
            <w:tcW w:w="438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Clinical Research GmbH</w:t>
            </w:r>
          </w:p>
        </w:tc>
        <w:tc>
          <w:tcPr>
            <w:tcW w:w="362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Heinrich-Hertz-Straße 26</w:t>
            </w:r>
          </w:p>
        </w:tc>
        <w:tc>
          <w:tcPr>
            <w:tcW w:w="3420" w:type="dxa"/>
            <w:vAlign w:val="bottom"/>
            <w:shd w:val="clear" w:color="auto" w:fill="CCEEFF"/>
          </w:tcPr>
          <w:p>
            <w:pPr>
              <w:ind w:left="11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380" w:type="dxa"/>
            <w:vAlign w:val="bottom"/>
            <w:shd w:val="clear" w:color="auto" w:fill="CCEEFF"/>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63225</w:t>
            </w:r>
          </w:p>
        </w:tc>
        <w:tc>
          <w:tcPr>
            <w:tcW w:w="3420" w:type="dxa"/>
            <w:vAlign w:val="bottom"/>
            <w:shd w:val="clear" w:color="auto" w:fill="CCEEFF"/>
          </w:tcPr>
          <w:p>
            <w:pPr>
              <w:spacing w:after="0"/>
              <w:rPr>
                <w:sz w:val="18"/>
                <w:szCs w:val="18"/>
                <w:color w:val="auto"/>
              </w:rPr>
            </w:pPr>
          </w:p>
        </w:tc>
      </w:tr>
      <w:tr>
        <w:trPr>
          <w:trHeight w:val="212"/>
        </w:trPr>
        <w:tc>
          <w:tcPr>
            <w:tcW w:w="4380" w:type="dxa"/>
            <w:vAlign w:val="bottom"/>
            <w:shd w:val="clear" w:color="auto" w:fill="CCEEFF"/>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Langen</w:t>
            </w:r>
          </w:p>
        </w:tc>
        <w:tc>
          <w:tcPr>
            <w:tcW w:w="3420" w:type="dxa"/>
            <w:vAlign w:val="bottom"/>
            <w:shd w:val="clear" w:color="auto" w:fill="CCEEFF"/>
          </w:tcPr>
          <w:p>
            <w:pPr>
              <w:spacing w:after="0"/>
              <w:rPr>
                <w:sz w:val="18"/>
                <w:szCs w:val="18"/>
                <w:color w:val="auto"/>
              </w:rPr>
            </w:pPr>
          </w:p>
        </w:tc>
      </w:tr>
      <w:tr>
        <w:trPr>
          <w:trHeight w:val="212"/>
        </w:trPr>
        <w:tc>
          <w:tcPr>
            <w:tcW w:w="4380" w:type="dxa"/>
            <w:vAlign w:val="bottom"/>
            <w:shd w:val="clear" w:color="auto" w:fill="CCEEFF"/>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Hessen</w:t>
            </w:r>
          </w:p>
        </w:tc>
        <w:tc>
          <w:tcPr>
            <w:tcW w:w="3420" w:type="dxa"/>
            <w:vAlign w:val="bottom"/>
            <w:shd w:val="clear" w:color="auto" w:fill="CCEEFF"/>
          </w:tcPr>
          <w:p>
            <w:pPr>
              <w:spacing w:after="0"/>
              <w:rPr>
                <w:sz w:val="18"/>
                <w:szCs w:val="18"/>
                <w:color w:val="auto"/>
              </w:rPr>
            </w:pPr>
          </w:p>
        </w:tc>
      </w:tr>
      <w:tr>
        <w:trPr>
          <w:trHeight w:val="225"/>
        </w:trPr>
        <w:tc>
          <w:tcPr>
            <w:tcW w:w="4380" w:type="dxa"/>
            <w:vAlign w:val="bottom"/>
            <w:shd w:val="clear" w:color="auto" w:fill="CCEEFF"/>
          </w:tcPr>
          <w:p>
            <w:pPr>
              <w:spacing w:after="0"/>
              <w:rPr>
                <w:sz w:val="19"/>
                <w:szCs w:val="19"/>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Germany</w:t>
            </w:r>
          </w:p>
        </w:tc>
        <w:tc>
          <w:tcPr>
            <w:tcW w:w="3420" w:type="dxa"/>
            <w:vAlign w:val="bottom"/>
            <w:shd w:val="clear" w:color="auto" w:fill="CCEEFF"/>
          </w:tcPr>
          <w:p>
            <w:pPr>
              <w:spacing w:after="0"/>
              <w:rPr>
                <w:sz w:val="19"/>
                <w:szCs w:val="19"/>
                <w:color w:val="auto"/>
              </w:rPr>
            </w:pPr>
          </w:p>
        </w:tc>
      </w:tr>
      <w:tr>
        <w:trPr>
          <w:trHeight w:val="212"/>
        </w:trPr>
        <w:tc>
          <w:tcPr>
            <w:tcW w:w="4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00"/>
        </w:trPr>
        <w:tc>
          <w:tcPr>
            <w:tcW w:w="438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DOCS International Germany GmbH</w:t>
            </w:r>
          </w:p>
        </w:tc>
        <w:tc>
          <w:tcPr>
            <w:tcW w:w="362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An der Welle 4,</w:t>
            </w:r>
          </w:p>
        </w:tc>
        <w:tc>
          <w:tcPr>
            <w:tcW w:w="3420" w:type="dxa"/>
            <w:vAlign w:val="bottom"/>
            <w:shd w:val="clear" w:color="auto" w:fill="CCEEFF"/>
          </w:tcPr>
          <w:p>
            <w:pPr>
              <w:ind w:left="11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380" w:type="dxa"/>
            <w:vAlign w:val="bottom"/>
            <w:shd w:val="clear" w:color="auto" w:fill="CCEEFF"/>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60422 Frankfurt</w:t>
            </w:r>
          </w:p>
        </w:tc>
        <w:tc>
          <w:tcPr>
            <w:tcW w:w="3420" w:type="dxa"/>
            <w:vAlign w:val="bottom"/>
            <w:shd w:val="clear" w:color="auto" w:fill="CCEEFF"/>
          </w:tcPr>
          <w:p>
            <w:pPr>
              <w:spacing w:after="0"/>
              <w:rPr>
                <w:sz w:val="18"/>
                <w:szCs w:val="18"/>
                <w:color w:val="auto"/>
              </w:rPr>
            </w:pPr>
          </w:p>
        </w:tc>
      </w:tr>
      <w:tr>
        <w:trPr>
          <w:trHeight w:val="225"/>
        </w:trPr>
        <w:tc>
          <w:tcPr>
            <w:tcW w:w="4380" w:type="dxa"/>
            <w:vAlign w:val="bottom"/>
            <w:shd w:val="clear" w:color="auto" w:fill="CCEEFF"/>
          </w:tcPr>
          <w:p>
            <w:pPr>
              <w:spacing w:after="0"/>
              <w:rPr>
                <w:sz w:val="19"/>
                <w:szCs w:val="19"/>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Germany</w:t>
            </w:r>
          </w:p>
        </w:tc>
        <w:tc>
          <w:tcPr>
            <w:tcW w:w="3420" w:type="dxa"/>
            <w:vAlign w:val="bottom"/>
            <w:shd w:val="clear" w:color="auto" w:fill="CCEEFF"/>
          </w:tcPr>
          <w:p>
            <w:pPr>
              <w:spacing w:after="0"/>
              <w:rPr>
                <w:sz w:val="19"/>
                <w:szCs w:val="19"/>
                <w:color w:val="auto"/>
              </w:rPr>
            </w:pPr>
          </w:p>
        </w:tc>
      </w:tr>
      <w:tr>
        <w:trPr>
          <w:trHeight w:val="212"/>
        </w:trPr>
        <w:tc>
          <w:tcPr>
            <w:tcW w:w="4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00"/>
        </w:trPr>
        <w:tc>
          <w:tcPr>
            <w:tcW w:w="438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w w:val="98"/>
              </w:rPr>
              <w:t>ICON Clinical Research Kft (ICON Klinikai Kutató Kft)</w:t>
            </w:r>
          </w:p>
        </w:tc>
        <w:tc>
          <w:tcPr>
            <w:tcW w:w="362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1037 Budapest,</w:t>
            </w:r>
          </w:p>
        </w:tc>
        <w:tc>
          <w:tcPr>
            <w:tcW w:w="3420" w:type="dxa"/>
            <w:vAlign w:val="bottom"/>
            <w:shd w:val="clear" w:color="auto" w:fill="CCEEFF"/>
          </w:tcPr>
          <w:p>
            <w:pPr>
              <w:ind w:left="11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380" w:type="dxa"/>
            <w:vAlign w:val="bottom"/>
            <w:shd w:val="clear" w:color="auto" w:fill="CCEEFF"/>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Szépvölgyi út 39.</w:t>
            </w:r>
          </w:p>
        </w:tc>
        <w:tc>
          <w:tcPr>
            <w:tcW w:w="3420" w:type="dxa"/>
            <w:vAlign w:val="bottom"/>
            <w:shd w:val="clear" w:color="auto" w:fill="CCEEFF"/>
          </w:tcPr>
          <w:p>
            <w:pPr>
              <w:spacing w:after="0"/>
              <w:rPr>
                <w:sz w:val="18"/>
                <w:szCs w:val="18"/>
                <w:color w:val="auto"/>
              </w:rPr>
            </w:pPr>
          </w:p>
        </w:tc>
      </w:tr>
      <w:tr>
        <w:trPr>
          <w:trHeight w:val="225"/>
        </w:trPr>
        <w:tc>
          <w:tcPr>
            <w:tcW w:w="4380" w:type="dxa"/>
            <w:vAlign w:val="bottom"/>
            <w:shd w:val="clear" w:color="auto" w:fill="CCEEFF"/>
          </w:tcPr>
          <w:p>
            <w:pPr>
              <w:spacing w:after="0"/>
              <w:rPr>
                <w:sz w:val="19"/>
                <w:szCs w:val="19"/>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Hungary</w:t>
            </w:r>
          </w:p>
        </w:tc>
        <w:tc>
          <w:tcPr>
            <w:tcW w:w="3420" w:type="dxa"/>
            <w:vAlign w:val="bottom"/>
            <w:shd w:val="clear" w:color="auto" w:fill="CCEEFF"/>
          </w:tcPr>
          <w:p>
            <w:pPr>
              <w:spacing w:after="0"/>
              <w:rPr>
                <w:sz w:val="19"/>
                <w:szCs w:val="19"/>
                <w:color w:val="auto"/>
              </w:rPr>
            </w:pPr>
          </w:p>
        </w:tc>
      </w:tr>
      <w:tr>
        <w:trPr>
          <w:trHeight w:val="212"/>
        </w:trPr>
        <w:tc>
          <w:tcPr>
            <w:tcW w:w="4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00"/>
        </w:trPr>
        <w:tc>
          <w:tcPr>
            <w:tcW w:w="438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Clinical Research Israel Limited</w:t>
            </w:r>
          </w:p>
        </w:tc>
        <w:tc>
          <w:tcPr>
            <w:tcW w:w="362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6 Haba'al Shem Tov Street,</w:t>
            </w:r>
          </w:p>
        </w:tc>
        <w:tc>
          <w:tcPr>
            <w:tcW w:w="3420" w:type="dxa"/>
            <w:vAlign w:val="bottom"/>
            <w:shd w:val="clear" w:color="auto" w:fill="CCEEFF"/>
          </w:tcPr>
          <w:p>
            <w:pPr>
              <w:ind w:left="11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380" w:type="dxa"/>
            <w:vAlign w:val="bottom"/>
            <w:shd w:val="clear" w:color="auto" w:fill="CCEEFF"/>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Lod,</w:t>
            </w:r>
          </w:p>
        </w:tc>
        <w:tc>
          <w:tcPr>
            <w:tcW w:w="3420" w:type="dxa"/>
            <w:vAlign w:val="bottom"/>
            <w:shd w:val="clear" w:color="auto" w:fill="CCEEFF"/>
          </w:tcPr>
          <w:p>
            <w:pPr>
              <w:spacing w:after="0"/>
              <w:rPr>
                <w:sz w:val="18"/>
                <w:szCs w:val="18"/>
                <w:color w:val="auto"/>
              </w:rPr>
            </w:pPr>
          </w:p>
        </w:tc>
      </w:tr>
      <w:tr>
        <w:trPr>
          <w:trHeight w:val="212"/>
        </w:trPr>
        <w:tc>
          <w:tcPr>
            <w:tcW w:w="4380" w:type="dxa"/>
            <w:vAlign w:val="bottom"/>
            <w:shd w:val="clear" w:color="auto" w:fill="CCEEFF"/>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Zip Code 71289,</w:t>
            </w:r>
          </w:p>
        </w:tc>
        <w:tc>
          <w:tcPr>
            <w:tcW w:w="3420" w:type="dxa"/>
            <w:vAlign w:val="bottom"/>
            <w:shd w:val="clear" w:color="auto" w:fill="CCEEFF"/>
          </w:tcPr>
          <w:p>
            <w:pPr>
              <w:spacing w:after="0"/>
              <w:rPr>
                <w:sz w:val="18"/>
                <w:szCs w:val="18"/>
                <w:color w:val="auto"/>
              </w:rPr>
            </w:pPr>
          </w:p>
        </w:tc>
      </w:tr>
      <w:tr>
        <w:trPr>
          <w:trHeight w:val="212"/>
        </w:trPr>
        <w:tc>
          <w:tcPr>
            <w:tcW w:w="4380" w:type="dxa"/>
            <w:vAlign w:val="bottom"/>
            <w:shd w:val="clear" w:color="auto" w:fill="CCEEFF"/>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Northern Industrial Area.</w:t>
            </w:r>
          </w:p>
        </w:tc>
        <w:tc>
          <w:tcPr>
            <w:tcW w:w="3420" w:type="dxa"/>
            <w:vAlign w:val="bottom"/>
            <w:shd w:val="clear" w:color="auto" w:fill="CCEEFF"/>
          </w:tcPr>
          <w:p>
            <w:pPr>
              <w:spacing w:after="0"/>
              <w:rPr>
                <w:sz w:val="18"/>
                <w:szCs w:val="18"/>
                <w:color w:val="auto"/>
              </w:rPr>
            </w:pPr>
          </w:p>
        </w:tc>
      </w:tr>
      <w:tr>
        <w:trPr>
          <w:trHeight w:val="225"/>
        </w:trPr>
        <w:tc>
          <w:tcPr>
            <w:tcW w:w="4380" w:type="dxa"/>
            <w:vAlign w:val="bottom"/>
            <w:shd w:val="clear" w:color="auto" w:fill="CCEEFF"/>
          </w:tcPr>
          <w:p>
            <w:pPr>
              <w:spacing w:after="0"/>
              <w:rPr>
                <w:sz w:val="19"/>
                <w:szCs w:val="19"/>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Israel</w:t>
            </w:r>
          </w:p>
        </w:tc>
        <w:tc>
          <w:tcPr>
            <w:tcW w:w="3420" w:type="dxa"/>
            <w:vAlign w:val="bottom"/>
            <w:shd w:val="clear" w:color="auto" w:fill="CCEEFF"/>
          </w:tcPr>
          <w:p>
            <w:pPr>
              <w:spacing w:after="0"/>
              <w:rPr>
                <w:sz w:val="19"/>
                <w:szCs w:val="19"/>
                <w:color w:val="auto"/>
              </w:rPr>
            </w:pPr>
          </w:p>
        </w:tc>
      </w:tr>
      <w:tr>
        <w:trPr>
          <w:trHeight w:val="212"/>
        </w:trPr>
        <w:tc>
          <w:tcPr>
            <w:tcW w:w="4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00"/>
        </w:trPr>
        <w:tc>
          <w:tcPr>
            <w:tcW w:w="438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DOCS Italia</w:t>
            </w:r>
          </w:p>
        </w:tc>
        <w:tc>
          <w:tcPr>
            <w:tcW w:w="362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Via Washington n.70,</w:t>
            </w:r>
          </w:p>
        </w:tc>
        <w:tc>
          <w:tcPr>
            <w:tcW w:w="3420" w:type="dxa"/>
            <w:vAlign w:val="bottom"/>
            <w:shd w:val="clear" w:color="auto" w:fill="CCEEFF"/>
          </w:tcPr>
          <w:p>
            <w:pPr>
              <w:ind w:left="11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380" w:type="dxa"/>
            <w:vAlign w:val="bottom"/>
            <w:shd w:val="clear" w:color="auto" w:fill="CCEEFF"/>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Milan</w:t>
            </w:r>
          </w:p>
        </w:tc>
        <w:tc>
          <w:tcPr>
            <w:tcW w:w="3420" w:type="dxa"/>
            <w:vAlign w:val="bottom"/>
            <w:shd w:val="clear" w:color="auto" w:fill="CCEEFF"/>
          </w:tcPr>
          <w:p>
            <w:pPr>
              <w:spacing w:after="0"/>
              <w:rPr>
                <w:sz w:val="18"/>
                <w:szCs w:val="18"/>
                <w:color w:val="auto"/>
              </w:rPr>
            </w:pPr>
          </w:p>
        </w:tc>
      </w:tr>
      <w:tr>
        <w:trPr>
          <w:trHeight w:val="225"/>
        </w:trPr>
        <w:tc>
          <w:tcPr>
            <w:tcW w:w="4380" w:type="dxa"/>
            <w:vAlign w:val="bottom"/>
            <w:shd w:val="clear" w:color="auto" w:fill="CCEEFF"/>
          </w:tcPr>
          <w:p>
            <w:pPr>
              <w:spacing w:after="0"/>
              <w:rPr>
                <w:sz w:val="19"/>
                <w:szCs w:val="19"/>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Italy</w:t>
            </w:r>
          </w:p>
        </w:tc>
        <w:tc>
          <w:tcPr>
            <w:tcW w:w="3420" w:type="dxa"/>
            <w:vAlign w:val="bottom"/>
            <w:shd w:val="clear" w:color="auto" w:fill="CCEEFF"/>
          </w:tcPr>
          <w:p>
            <w:pPr>
              <w:spacing w:after="0"/>
              <w:rPr>
                <w:sz w:val="19"/>
                <w:szCs w:val="19"/>
                <w:color w:val="auto"/>
              </w:rPr>
            </w:pPr>
          </w:p>
        </w:tc>
      </w:tr>
      <w:tr>
        <w:trPr>
          <w:trHeight w:val="596"/>
        </w:trPr>
        <w:tc>
          <w:tcPr>
            <w:tcW w:w="4380" w:type="dxa"/>
            <w:vAlign w:val="bottom"/>
          </w:tcPr>
          <w:p>
            <w:pPr>
              <w:spacing w:after="0"/>
              <w:rPr>
                <w:sz w:val="24"/>
                <w:szCs w:val="24"/>
                <w:color w:val="auto"/>
              </w:rPr>
            </w:pPr>
          </w:p>
        </w:tc>
        <w:tc>
          <w:tcPr>
            <w:tcW w:w="3620" w:type="dxa"/>
            <w:vAlign w:val="bottom"/>
          </w:tcPr>
          <w:p>
            <w:pPr>
              <w:ind w:left="1240"/>
              <w:spacing w:after="0"/>
              <w:rPr>
                <w:sz w:val="20"/>
                <w:szCs w:val="20"/>
                <w:color w:val="auto"/>
              </w:rPr>
            </w:pPr>
            <w:r>
              <w:rPr>
                <w:rFonts w:ascii="Arial" w:cs="Arial" w:eastAsia="Arial" w:hAnsi="Arial"/>
                <w:sz w:val="18"/>
                <w:szCs w:val="18"/>
                <w:color w:val="auto"/>
              </w:rPr>
              <w:t>96</w:t>
            </w:r>
          </w:p>
        </w:tc>
        <w:tc>
          <w:tcPr>
            <w:tcW w:w="3420" w:type="dxa"/>
            <w:vAlign w:val="bottom"/>
          </w:tcPr>
          <w:p>
            <w:pPr>
              <w:spacing w:after="0"/>
              <w:rPr>
                <w:sz w:val="24"/>
                <w:szCs w:val="24"/>
                <w:color w:val="auto"/>
              </w:rPr>
            </w:pPr>
          </w:p>
        </w:tc>
      </w:tr>
      <w:tr>
        <w:trPr>
          <w:trHeight w:val="117"/>
        </w:trPr>
        <w:tc>
          <w:tcPr>
            <w:tcW w:w="4380" w:type="dxa"/>
            <w:vAlign w:val="bottom"/>
            <w:tcBorders>
              <w:bottom w:val="single" w:sz="8" w:color="808080"/>
            </w:tcBorders>
          </w:tcPr>
          <w:p>
            <w:pPr>
              <w:spacing w:after="0"/>
              <w:rPr>
                <w:sz w:val="10"/>
                <w:szCs w:val="10"/>
                <w:color w:val="auto"/>
              </w:rPr>
            </w:pPr>
          </w:p>
        </w:tc>
        <w:tc>
          <w:tcPr>
            <w:tcW w:w="362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spacing w:after="0"/>
              <w:rPr>
                <w:sz w:val="20"/>
                <w:szCs w:val="20"/>
                <w:color w:val="auto"/>
              </w:rPr>
            </w:pPr>
            <w:r>
              <w:rPr>
                <w:rFonts w:ascii="Arial" w:cs="Arial" w:eastAsia="Arial" w:hAnsi="Arial"/>
                <w:sz w:val="18"/>
                <w:szCs w:val="18"/>
                <w:b w:val="1"/>
                <w:bCs w:val="1"/>
                <w:color w:val="auto"/>
              </w:rPr>
              <w:t xml:space="preserve">31. Subsidiary Undertakings </w:t>
            </w:r>
            <w:r>
              <w:rPr>
                <w:rFonts w:ascii="Arial" w:cs="Arial" w:eastAsia="Arial" w:hAnsi="Arial"/>
                <w:sz w:val="18"/>
                <w:szCs w:val="18"/>
                <w:b w:val="1"/>
                <w:bCs w:val="1"/>
                <w:i w:val="1"/>
                <w:iCs w:val="1"/>
                <w:color w:val="auto"/>
              </w:rPr>
              <w:t>(continued)</w:t>
            </w:r>
          </w:p>
        </w:tc>
        <w:tc>
          <w:tcPr>
            <w:tcW w:w="428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439"/>
        </w:trPr>
        <w:tc>
          <w:tcPr>
            <w:tcW w:w="38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320" w:type="dxa"/>
            <w:vAlign w:val="bottom"/>
          </w:tcPr>
          <w:p>
            <w:pPr>
              <w:ind w:left="1040"/>
              <w:spacing w:after="0"/>
              <w:rPr>
                <w:sz w:val="20"/>
                <w:szCs w:val="20"/>
                <w:color w:val="auto"/>
              </w:rPr>
            </w:pPr>
            <w:r>
              <w:rPr>
                <w:rFonts w:ascii="Arial" w:cs="Arial" w:eastAsia="Arial" w:hAnsi="Arial"/>
                <w:sz w:val="18"/>
                <w:szCs w:val="18"/>
                <w:b w:val="1"/>
                <w:bCs w:val="1"/>
                <w:i w:val="1"/>
                <w:iCs w:val="1"/>
                <w:color w:val="auto"/>
              </w:rPr>
              <w:t>Proportion held by</w:t>
            </w:r>
          </w:p>
        </w:tc>
      </w:tr>
      <w:tr>
        <w:trPr>
          <w:trHeight w:val="224"/>
        </w:trPr>
        <w:tc>
          <w:tcPr>
            <w:tcW w:w="38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Name</w:t>
            </w:r>
          </w:p>
        </w:tc>
        <w:tc>
          <w:tcPr>
            <w:tcW w:w="4280" w:type="dxa"/>
            <w:vAlign w:val="bottom"/>
          </w:tcPr>
          <w:p>
            <w:pPr>
              <w:ind w:left="760"/>
              <w:spacing w:after="0"/>
              <w:rPr>
                <w:sz w:val="20"/>
                <w:szCs w:val="20"/>
                <w:color w:val="auto"/>
              </w:rPr>
            </w:pPr>
            <w:r>
              <w:rPr>
                <w:rFonts w:ascii="Arial" w:cs="Arial" w:eastAsia="Arial" w:hAnsi="Arial"/>
                <w:sz w:val="18"/>
                <w:szCs w:val="18"/>
                <w:b w:val="1"/>
                <w:bCs w:val="1"/>
                <w:i w:val="1"/>
                <w:iCs w:val="1"/>
                <w:color w:val="auto"/>
              </w:rPr>
              <w:t>Registered Office</w:t>
            </w:r>
          </w:p>
        </w:tc>
        <w:tc>
          <w:tcPr>
            <w:tcW w:w="3320" w:type="dxa"/>
            <w:vAlign w:val="bottom"/>
          </w:tcPr>
          <w:p>
            <w:pPr>
              <w:ind w:left="1040"/>
              <w:spacing w:after="0"/>
              <w:rPr>
                <w:sz w:val="20"/>
                <w:szCs w:val="20"/>
                <w:color w:val="auto"/>
              </w:rPr>
            </w:pPr>
            <w:r>
              <w:rPr>
                <w:rFonts w:ascii="Arial" w:cs="Arial" w:eastAsia="Arial" w:hAnsi="Arial"/>
                <w:sz w:val="18"/>
                <w:szCs w:val="18"/>
                <w:b w:val="1"/>
                <w:bCs w:val="1"/>
                <w:i w:val="1"/>
                <w:iCs w:val="1"/>
                <w:color w:val="auto"/>
              </w:rPr>
              <w:t>group</w:t>
            </w:r>
          </w:p>
        </w:tc>
      </w:tr>
      <w:tr>
        <w:trPr>
          <w:trHeight w:val="200"/>
        </w:trPr>
        <w:tc>
          <w:tcPr>
            <w:tcW w:w="3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ICON Investments Limited</w:t>
            </w:r>
          </w:p>
        </w:tc>
        <w:tc>
          <w:tcPr>
            <w:tcW w:w="4280" w:type="dxa"/>
            <w:vAlign w:val="bottom"/>
            <w:shd w:val="clear" w:color="auto" w:fill="CCEEFF"/>
          </w:tcPr>
          <w:p>
            <w:pPr>
              <w:ind w:left="760"/>
              <w:spacing w:after="0" w:line="201" w:lineRule="exact"/>
              <w:rPr>
                <w:sz w:val="20"/>
                <w:szCs w:val="20"/>
                <w:color w:val="auto"/>
              </w:rPr>
            </w:pPr>
            <w:r>
              <w:rPr>
                <w:rFonts w:ascii="Arial" w:cs="Arial" w:eastAsia="Arial" w:hAnsi="Arial"/>
                <w:sz w:val="18"/>
                <w:szCs w:val="18"/>
                <w:color w:val="auto"/>
              </w:rPr>
              <w:t>PO Box 76,</w:t>
            </w:r>
          </w:p>
        </w:tc>
        <w:tc>
          <w:tcPr>
            <w:tcW w:w="3320" w:type="dxa"/>
            <w:vAlign w:val="bottom"/>
            <w:shd w:val="clear" w:color="auto" w:fill="CCEEFF"/>
          </w:tcPr>
          <w:p>
            <w:pPr>
              <w:ind w:left="1040"/>
              <w:spacing w:after="0" w:line="201"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Kleinwort Benson House,</w:t>
            </w:r>
          </w:p>
        </w:tc>
        <w:tc>
          <w:tcPr>
            <w:tcW w:w="332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Wests Centre,</w:t>
            </w:r>
          </w:p>
        </w:tc>
        <w:tc>
          <w:tcPr>
            <w:tcW w:w="332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St. Helier,</w:t>
            </w:r>
          </w:p>
        </w:tc>
        <w:tc>
          <w:tcPr>
            <w:tcW w:w="332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JE4 8PQ</w:t>
            </w:r>
          </w:p>
        </w:tc>
        <w:tc>
          <w:tcPr>
            <w:tcW w:w="332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Jersey</w:t>
            </w:r>
          </w:p>
        </w:tc>
        <w:tc>
          <w:tcPr>
            <w:tcW w:w="3320" w:type="dxa"/>
            <w:vAlign w:val="bottom"/>
            <w:shd w:val="clear" w:color="auto" w:fill="CCEEFF"/>
          </w:tcPr>
          <w:p>
            <w:pPr>
              <w:spacing w:after="0"/>
              <w:rPr>
                <w:sz w:val="19"/>
                <w:szCs w:val="19"/>
                <w:color w:val="auto"/>
              </w:rPr>
            </w:pPr>
          </w:p>
        </w:tc>
      </w:tr>
      <w:tr>
        <w:trPr>
          <w:trHeight w:val="212"/>
        </w:trPr>
        <w:tc>
          <w:tcPr>
            <w:tcW w:w="3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00"/>
        </w:trPr>
        <w:tc>
          <w:tcPr>
            <w:tcW w:w="38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DOCS International BV</w:t>
            </w:r>
          </w:p>
        </w:tc>
        <w:tc>
          <w:tcPr>
            <w:tcW w:w="4280" w:type="dxa"/>
            <w:vAlign w:val="bottom"/>
            <w:shd w:val="clear" w:color="auto" w:fill="CCEEFF"/>
          </w:tcPr>
          <w:p>
            <w:pPr>
              <w:ind w:left="760"/>
              <w:spacing w:after="0" w:line="200" w:lineRule="exact"/>
              <w:rPr>
                <w:sz w:val="20"/>
                <w:szCs w:val="20"/>
                <w:color w:val="auto"/>
              </w:rPr>
            </w:pPr>
            <w:r>
              <w:rPr>
                <w:rFonts w:ascii="Arial" w:cs="Arial" w:eastAsia="Arial" w:hAnsi="Arial"/>
                <w:sz w:val="18"/>
                <w:szCs w:val="18"/>
                <w:color w:val="auto"/>
              </w:rPr>
              <w:t>Handelsweg 53</w:t>
            </w:r>
          </w:p>
        </w:tc>
        <w:tc>
          <w:tcPr>
            <w:tcW w:w="3320" w:type="dxa"/>
            <w:vAlign w:val="bottom"/>
            <w:shd w:val="clear" w:color="auto" w:fill="CCEEFF"/>
          </w:tcPr>
          <w:p>
            <w:pPr>
              <w:ind w:left="10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1181 ZA Amstelveen</w:t>
            </w:r>
          </w:p>
        </w:tc>
        <w:tc>
          <w:tcPr>
            <w:tcW w:w="332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The Netherlands</w:t>
            </w:r>
          </w:p>
        </w:tc>
        <w:tc>
          <w:tcPr>
            <w:tcW w:w="3320" w:type="dxa"/>
            <w:vAlign w:val="bottom"/>
            <w:shd w:val="clear" w:color="auto" w:fill="CCEEFF"/>
          </w:tcPr>
          <w:p>
            <w:pPr>
              <w:spacing w:after="0"/>
              <w:rPr>
                <w:sz w:val="19"/>
                <w:szCs w:val="19"/>
                <w:color w:val="auto"/>
              </w:rPr>
            </w:pPr>
          </w:p>
        </w:tc>
      </w:tr>
      <w:tr>
        <w:trPr>
          <w:trHeight w:val="212"/>
        </w:trPr>
        <w:tc>
          <w:tcPr>
            <w:tcW w:w="3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00"/>
        </w:trPr>
        <w:tc>
          <w:tcPr>
            <w:tcW w:w="38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DOCS Insourcing BV</w:t>
            </w:r>
          </w:p>
        </w:tc>
        <w:tc>
          <w:tcPr>
            <w:tcW w:w="4280" w:type="dxa"/>
            <w:vAlign w:val="bottom"/>
            <w:shd w:val="clear" w:color="auto" w:fill="CCEEFF"/>
          </w:tcPr>
          <w:p>
            <w:pPr>
              <w:ind w:left="760"/>
              <w:spacing w:after="0" w:line="200" w:lineRule="exact"/>
              <w:rPr>
                <w:sz w:val="20"/>
                <w:szCs w:val="20"/>
                <w:color w:val="auto"/>
              </w:rPr>
            </w:pPr>
            <w:r>
              <w:rPr>
                <w:rFonts w:ascii="Arial" w:cs="Arial" w:eastAsia="Arial" w:hAnsi="Arial"/>
                <w:sz w:val="18"/>
                <w:szCs w:val="18"/>
                <w:color w:val="auto"/>
              </w:rPr>
              <w:t>Handelsweg 53</w:t>
            </w:r>
          </w:p>
        </w:tc>
        <w:tc>
          <w:tcPr>
            <w:tcW w:w="3320" w:type="dxa"/>
            <w:vAlign w:val="bottom"/>
            <w:shd w:val="clear" w:color="auto" w:fill="CCEEFF"/>
          </w:tcPr>
          <w:p>
            <w:pPr>
              <w:ind w:left="10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1181 ZA Amstelveen</w:t>
            </w:r>
          </w:p>
        </w:tc>
        <w:tc>
          <w:tcPr>
            <w:tcW w:w="332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The Netherlands</w:t>
            </w:r>
          </w:p>
        </w:tc>
        <w:tc>
          <w:tcPr>
            <w:tcW w:w="3320" w:type="dxa"/>
            <w:vAlign w:val="bottom"/>
            <w:shd w:val="clear" w:color="auto" w:fill="CCEEFF"/>
          </w:tcPr>
          <w:p>
            <w:pPr>
              <w:spacing w:after="0"/>
              <w:rPr>
                <w:sz w:val="19"/>
                <w:szCs w:val="19"/>
                <w:color w:val="auto"/>
              </w:rPr>
            </w:pPr>
          </w:p>
        </w:tc>
      </w:tr>
      <w:tr>
        <w:trPr>
          <w:trHeight w:val="212"/>
        </w:trPr>
        <w:tc>
          <w:tcPr>
            <w:tcW w:w="3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00"/>
        </w:trPr>
        <w:tc>
          <w:tcPr>
            <w:tcW w:w="38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DOCS International Poland Sp.zo.o.</w:t>
            </w:r>
          </w:p>
        </w:tc>
        <w:tc>
          <w:tcPr>
            <w:tcW w:w="4280" w:type="dxa"/>
            <w:vAlign w:val="bottom"/>
            <w:shd w:val="clear" w:color="auto" w:fill="CCEEFF"/>
          </w:tcPr>
          <w:p>
            <w:pPr>
              <w:ind w:left="760"/>
              <w:spacing w:after="0" w:line="200" w:lineRule="exact"/>
              <w:rPr>
                <w:sz w:val="20"/>
                <w:szCs w:val="20"/>
                <w:color w:val="auto"/>
              </w:rPr>
            </w:pPr>
            <w:r>
              <w:rPr>
                <w:rFonts w:ascii="Arial" w:cs="Arial" w:eastAsia="Arial" w:hAnsi="Arial"/>
                <w:sz w:val="18"/>
                <w:szCs w:val="18"/>
                <w:color w:val="auto"/>
              </w:rPr>
              <w:t>ul. Grójecka 5</w:t>
            </w:r>
          </w:p>
        </w:tc>
        <w:tc>
          <w:tcPr>
            <w:tcW w:w="3320" w:type="dxa"/>
            <w:vAlign w:val="bottom"/>
            <w:shd w:val="clear" w:color="auto" w:fill="CCEEFF"/>
          </w:tcPr>
          <w:p>
            <w:pPr>
              <w:ind w:left="10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Warszawa</w:t>
            </w:r>
          </w:p>
        </w:tc>
        <w:tc>
          <w:tcPr>
            <w:tcW w:w="332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Poland, 02-019</w:t>
            </w:r>
          </w:p>
        </w:tc>
        <w:tc>
          <w:tcPr>
            <w:tcW w:w="3320" w:type="dxa"/>
            <w:vAlign w:val="bottom"/>
            <w:shd w:val="clear" w:color="auto" w:fill="CCEEFF"/>
          </w:tcPr>
          <w:p>
            <w:pPr>
              <w:spacing w:after="0"/>
              <w:rPr>
                <w:sz w:val="19"/>
                <w:szCs w:val="19"/>
                <w:color w:val="auto"/>
              </w:rPr>
            </w:pPr>
          </w:p>
        </w:tc>
      </w:tr>
      <w:tr>
        <w:trPr>
          <w:trHeight w:val="212"/>
        </w:trPr>
        <w:tc>
          <w:tcPr>
            <w:tcW w:w="3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00"/>
        </w:trPr>
        <w:tc>
          <w:tcPr>
            <w:tcW w:w="38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Clinical Research Sp.zo.o.</w:t>
            </w:r>
          </w:p>
        </w:tc>
        <w:tc>
          <w:tcPr>
            <w:tcW w:w="4280" w:type="dxa"/>
            <w:vAlign w:val="bottom"/>
            <w:shd w:val="clear" w:color="auto" w:fill="CCEEFF"/>
          </w:tcPr>
          <w:p>
            <w:pPr>
              <w:ind w:left="760"/>
              <w:spacing w:after="0" w:line="200" w:lineRule="exact"/>
              <w:rPr>
                <w:sz w:val="20"/>
                <w:szCs w:val="20"/>
                <w:color w:val="auto"/>
              </w:rPr>
            </w:pPr>
            <w:r>
              <w:rPr>
                <w:rFonts w:ascii="Arial" w:cs="Arial" w:eastAsia="Arial" w:hAnsi="Arial"/>
                <w:sz w:val="18"/>
                <w:szCs w:val="18"/>
                <w:color w:val="auto"/>
              </w:rPr>
              <w:t>Al. Jerozolimskie 56C,</w:t>
            </w:r>
          </w:p>
        </w:tc>
        <w:tc>
          <w:tcPr>
            <w:tcW w:w="3320" w:type="dxa"/>
            <w:vAlign w:val="bottom"/>
            <w:shd w:val="clear" w:color="auto" w:fill="CCEEFF"/>
          </w:tcPr>
          <w:p>
            <w:pPr>
              <w:ind w:left="10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00-803,</w:t>
            </w:r>
          </w:p>
        </w:tc>
        <w:tc>
          <w:tcPr>
            <w:tcW w:w="332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Warsaw</w:t>
            </w:r>
          </w:p>
        </w:tc>
        <w:tc>
          <w:tcPr>
            <w:tcW w:w="332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Poland</w:t>
            </w:r>
          </w:p>
        </w:tc>
        <w:tc>
          <w:tcPr>
            <w:tcW w:w="3320" w:type="dxa"/>
            <w:vAlign w:val="bottom"/>
            <w:shd w:val="clear" w:color="auto" w:fill="CCEEFF"/>
          </w:tcPr>
          <w:p>
            <w:pPr>
              <w:spacing w:after="0"/>
              <w:rPr>
                <w:sz w:val="19"/>
                <w:szCs w:val="19"/>
                <w:color w:val="auto"/>
              </w:rPr>
            </w:pPr>
          </w:p>
        </w:tc>
      </w:tr>
      <w:tr>
        <w:trPr>
          <w:trHeight w:val="212"/>
        </w:trPr>
        <w:tc>
          <w:tcPr>
            <w:tcW w:w="3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00"/>
        </w:trPr>
        <w:tc>
          <w:tcPr>
            <w:tcW w:w="38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Clinical Research S.R.L.</w:t>
            </w:r>
          </w:p>
        </w:tc>
        <w:tc>
          <w:tcPr>
            <w:tcW w:w="4280" w:type="dxa"/>
            <w:vAlign w:val="bottom"/>
            <w:shd w:val="clear" w:color="auto" w:fill="CCEEFF"/>
          </w:tcPr>
          <w:p>
            <w:pPr>
              <w:ind w:left="760"/>
              <w:spacing w:after="0" w:line="200" w:lineRule="exact"/>
              <w:rPr>
                <w:sz w:val="20"/>
                <w:szCs w:val="20"/>
                <w:color w:val="auto"/>
              </w:rPr>
            </w:pPr>
            <w:r>
              <w:rPr>
                <w:rFonts w:ascii="Arial" w:cs="Arial" w:eastAsia="Arial" w:hAnsi="Arial"/>
                <w:sz w:val="18"/>
                <w:szCs w:val="18"/>
                <w:color w:val="auto"/>
              </w:rPr>
              <w:t>Calea Floreasca,</w:t>
            </w:r>
          </w:p>
        </w:tc>
        <w:tc>
          <w:tcPr>
            <w:tcW w:w="3320" w:type="dxa"/>
            <w:vAlign w:val="bottom"/>
            <w:shd w:val="clear" w:color="auto" w:fill="CCEEFF"/>
          </w:tcPr>
          <w:p>
            <w:pPr>
              <w:ind w:left="10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Nr 133-137,</w:t>
            </w:r>
          </w:p>
        </w:tc>
        <w:tc>
          <w:tcPr>
            <w:tcW w:w="332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Et. 3,</w:t>
            </w:r>
          </w:p>
        </w:tc>
        <w:tc>
          <w:tcPr>
            <w:tcW w:w="332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Bucuruesti,</w:t>
            </w:r>
          </w:p>
        </w:tc>
        <w:tc>
          <w:tcPr>
            <w:tcW w:w="332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Sector 1,</w:t>
            </w:r>
          </w:p>
        </w:tc>
        <w:tc>
          <w:tcPr>
            <w:tcW w:w="332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Romania</w:t>
            </w:r>
          </w:p>
        </w:tc>
        <w:tc>
          <w:tcPr>
            <w:tcW w:w="3320" w:type="dxa"/>
            <w:vAlign w:val="bottom"/>
            <w:shd w:val="clear" w:color="auto" w:fill="CCEEFF"/>
          </w:tcPr>
          <w:p>
            <w:pPr>
              <w:spacing w:after="0"/>
              <w:rPr>
                <w:sz w:val="19"/>
                <w:szCs w:val="19"/>
                <w:color w:val="auto"/>
              </w:rPr>
            </w:pPr>
          </w:p>
        </w:tc>
      </w:tr>
      <w:tr>
        <w:trPr>
          <w:trHeight w:val="212"/>
        </w:trPr>
        <w:tc>
          <w:tcPr>
            <w:tcW w:w="3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00"/>
        </w:trPr>
        <w:tc>
          <w:tcPr>
            <w:tcW w:w="38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Clinical Research d.o.o. Beograd</w:t>
            </w:r>
          </w:p>
        </w:tc>
        <w:tc>
          <w:tcPr>
            <w:tcW w:w="4280" w:type="dxa"/>
            <w:vAlign w:val="bottom"/>
            <w:shd w:val="clear" w:color="auto" w:fill="CCEEFF"/>
          </w:tcPr>
          <w:p>
            <w:pPr>
              <w:ind w:left="760"/>
              <w:spacing w:after="0" w:line="200" w:lineRule="exact"/>
              <w:rPr>
                <w:sz w:val="20"/>
                <w:szCs w:val="20"/>
                <w:color w:val="auto"/>
              </w:rPr>
            </w:pPr>
            <w:r>
              <w:rPr>
                <w:rFonts w:ascii="Arial" w:cs="Arial" w:eastAsia="Arial" w:hAnsi="Arial"/>
                <w:sz w:val="18"/>
                <w:szCs w:val="18"/>
                <w:color w:val="auto"/>
              </w:rPr>
              <w:t>Bulevar Zorana Djindjica 64a,</w:t>
            </w:r>
          </w:p>
        </w:tc>
        <w:tc>
          <w:tcPr>
            <w:tcW w:w="3320" w:type="dxa"/>
            <w:vAlign w:val="bottom"/>
            <w:shd w:val="clear" w:color="auto" w:fill="CCEEFF"/>
          </w:tcPr>
          <w:p>
            <w:pPr>
              <w:ind w:left="10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11070 Belgrade,</w:t>
            </w:r>
          </w:p>
        </w:tc>
        <w:tc>
          <w:tcPr>
            <w:tcW w:w="332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Serbia</w:t>
            </w:r>
          </w:p>
        </w:tc>
        <w:tc>
          <w:tcPr>
            <w:tcW w:w="3320" w:type="dxa"/>
            <w:vAlign w:val="bottom"/>
            <w:shd w:val="clear" w:color="auto" w:fill="CCEEFF"/>
          </w:tcPr>
          <w:p>
            <w:pPr>
              <w:spacing w:after="0"/>
              <w:rPr>
                <w:sz w:val="19"/>
                <w:szCs w:val="19"/>
                <w:color w:val="auto"/>
              </w:rPr>
            </w:pPr>
          </w:p>
        </w:tc>
      </w:tr>
      <w:tr>
        <w:trPr>
          <w:trHeight w:val="212"/>
        </w:trPr>
        <w:tc>
          <w:tcPr>
            <w:tcW w:w="3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00"/>
        </w:trPr>
        <w:tc>
          <w:tcPr>
            <w:tcW w:w="38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Clinical Research Espana, S.L.</w:t>
            </w:r>
          </w:p>
        </w:tc>
        <w:tc>
          <w:tcPr>
            <w:tcW w:w="4280" w:type="dxa"/>
            <w:vAlign w:val="bottom"/>
            <w:shd w:val="clear" w:color="auto" w:fill="CCEEFF"/>
          </w:tcPr>
          <w:p>
            <w:pPr>
              <w:ind w:left="760"/>
              <w:spacing w:after="0" w:line="200" w:lineRule="exact"/>
              <w:rPr>
                <w:sz w:val="20"/>
                <w:szCs w:val="20"/>
                <w:color w:val="auto"/>
              </w:rPr>
            </w:pPr>
            <w:r>
              <w:rPr>
                <w:rFonts w:ascii="Arial" w:cs="Arial" w:eastAsia="Arial" w:hAnsi="Arial"/>
                <w:sz w:val="18"/>
                <w:szCs w:val="18"/>
                <w:color w:val="auto"/>
              </w:rPr>
              <w:t>Torre Diagonal Mar</w:t>
            </w:r>
          </w:p>
        </w:tc>
        <w:tc>
          <w:tcPr>
            <w:tcW w:w="3320" w:type="dxa"/>
            <w:vAlign w:val="bottom"/>
            <w:shd w:val="clear" w:color="auto" w:fill="CCEEFF"/>
          </w:tcPr>
          <w:p>
            <w:pPr>
              <w:ind w:left="10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Josep Pla, 2, Planta 11, Módulo A1</w:t>
            </w:r>
          </w:p>
        </w:tc>
        <w:tc>
          <w:tcPr>
            <w:tcW w:w="332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Barcelona</w:t>
            </w:r>
          </w:p>
        </w:tc>
        <w:tc>
          <w:tcPr>
            <w:tcW w:w="332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Spain, 08019</w:t>
            </w:r>
          </w:p>
        </w:tc>
        <w:tc>
          <w:tcPr>
            <w:tcW w:w="3320" w:type="dxa"/>
            <w:vAlign w:val="bottom"/>
            <w:shd w:val="clear" w:color="auto" w:fill="CCEEFF"/>
          </w:tcPr>
          <w:p>
            <w:pPr>
              <w:spacing w:after="0"/>
              <w:rPr>
                <w:sz w:val="19"/>
                <w:szCs w:val="19"/>
                <w:color w:val="auto"/>
              </w:rPr>
            </w:pPr>
          </w:p>
        </w:tc>
      </w:tr>
      <w:tr>
        <w:trPr>
          <w:trHeight w:val="212"/>
        </w:trPr>
        <w:tc>
          <w:tcPr>
            <w:tcW w:w="3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00"/>
        </w:trPr>
        <w:tc>
          <w:tcPr>
            <w:tcW w:w="38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DOCS International Sweden AB</w:t>
            </w:r>
          </w:p>
        </w:tc>
        <w:tc>
          <w:tcPr>
            <w:tcW w:w="4280" w:type="dxa"/>
            <w:vAlign w:val="bottom"/>
            <w:shd w:val="clear" w:color="auto" w:fill="CCEEFF"/>
          </w:tcPr>
          <w:p>
            <w:pPr>
              <w:ind w:left="760"/>
              <w:spacing w:after="0" w:line="200" w:lineRule="exact"/>
              <w:rPr>
                <w:sz w:val="20"/>
                <w:szCs w:val="20"/>
                <w:color w:val="auto"/>
              </w:rPr>
            </w:pPr>
            <w:r>
              <w:rPr>
                <w:rFonts w:ascii="Arial" w:cs="Arial" w:eastAsia="Arial" w:hAnsi="Arial"/>
                <w:sz w:val="18"/>
                <w:szCs w:val="18"/>
                <w:color w:val="auto"/>
              </w:rPr>
              <w:t>Solna Stranväg 78</w:t>
            </w:r>
          </w:p>
        </w:tc>
        <w:tc>
          <w:tcPr>
            <w:tcW w:w="3320" w:type="dxa"/>
            <w:vAlign w:val="bottom"/>
            <w:shd w:val="clear" w:color="auto" w:fill="CCEEFF"/>
          </w:tcPr>
          <w:p>
            <w:pPr>
              <w:ind w:left="10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171 54 Solna</w:t>
            </w:r>
          </w:p>
        </w:tc>
        <w:tc>
          <w:tcPr>
            <w:tcW w:w="332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Sweden</w:t>
            </w:r>
          </w:p>
        </w:tc>
        <w:tc>
          <w:tcPr>
            <w:tcW w:w="3320" w:type="dxa"/>
            <w:vAlign w:val="bottom"/>
            <w:shd w:val="clear" w:color="auto" w:fill="CCEEFF"/>
          </w:tcPr>
          <w:p>
            <w:pPr>
              <w:spacing w:after="0"/>
              <w:rPr>
                <w:sz w:val="19"/>
                <w:szCs w:val="19"/>
                <w:color w:val="auto"/>
              </w:rPr>
            </w:pPr>
          </w:p>
        </w:tc>
      </w:tr>
      <w:tr>
        <w:trPr>
          <w:trHeight w:val="596"/>
        </w:trPr>
        <w:tc>
          <w:tcPr>
            <w:tcW w:w="3820" w:type="dxa"/>
            <w:vAlign w:val="bottom"/>
          </w:tcPr>
          <w:p>
            <w:pPr>
              <w:spacing w:after="0"/>
              <w:rPr>
                <w:sz w:val="24"/>
                <w:szCs w:val="24"/>
                <w:color w:val="auto"/>
              </w:rPr>
            </w:pPr>
          </w:p>
        </w:tc>
        <w:tc>
          <w:tcPr>
            <w:tcW w:w="4280" w:type="dxa"/>
            <w:vAlign w:val="bottom"/>
          </w:tcPr>
          <w:p>
            <w:pPr>
              <w:ind w:left="1800"/>
              <w:spacing w:after="0"/>
              <w:rPr>
                <w:sz w:val="20"/>
                <w:szCs w:val="20"/>
                <w:color w:val="auto"/>
              </w:rPr>
            </w:pPr>
            <w:r>
              <w:rPr>
                <w:rFonts w:ascii="Arial" w:cs="Arial" w:eastAsia="Arial" w:hAnsi="Arial"/>
                <w:sz w:val="18"/>
                <w:szCs w:val="18"/>
                <w:color w:val="auto"/>
              </w:rPr>
              <w:t>97</w:t>
            </w:r>
          </w:p>
        </w:tc>
        <w:tc>
          <w:tcPr>
            <w:tcW w:w="3320" w:type="dxa"/>
            <w:vAlign w:val="bottom"/>
          </w:tcPr>
          <w:p>
            <w:pPr>
              <w:spacing w:after="0"/>
              <w:rPr>
                <w:sz w:val="24"/>
                <w:szCs w:val="24"/>
                <w:color w:val="auto"/>
              </w:rPr>
            </w:pPr>
          </w:p>
        </w:tc>
      </w:tr>
      <w:tr>
        <w:trPr>
          <w:trHeight w:val="117"/>
        </w:trPr>
        <w:tc>
          <w:tcPr>
            <w:tcW w:w="3820" w:type="dxa"/>
            <w:vAlign w:val="bottom"/>
            <w:tcBorders>
              <w:bottom w:val="single" w:sz="8" w:color="808080"/>
            </w:tcBorders>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spacing w:after="0"/>
              <w:rPr>
                <w:sz w:val="20"/>
                <w:szCs w:val="20"/>
                <w:color w:val="auto"/>
              </w:rPr>
            </w:pPr>
            <w:r>
              <w:rPr>
                <w:rFonts w:ascii="Arial" w:cs="Arial" w:eastAsia="Arial" w:hAnsi="Arial"/>
                <w:sz w:val="18"/>
                <w:szCs w:val="18"/>
                <w:b w:val="1"/>
                <w:bCs w:val="1"/>
                <w:color w:val="auto"/>
              </w:rPr>
              <w:t xml:space="preserve">31. Subsidiary Undertakings </w:t>
            </w:r>
            <w:r>
              <w:rPr>
                <w:rFonts w:ascii="Arial" w:cs="Arial" w:eastAsia="Arial" w:hAnsi="Arial"/>
                <w:sz w:val="18"/>
                <w:szCs w:val="18"/>
                <w:b w:val="1"/>
                <w:bCs w:val="1"/>
                <w:i w:val="1"/>
                <w:iCs w:val="1"/>
                <w:color w:val="auto"/>
              </w:rPr>
              <w:t>(continued)</w:t>
            </w:r>
          </w:p>
        </w:tc>
        <w:tc>
          <w:tcPr>
            <w:tcW w:w="3940" w:type="dxa"/>
            <w:vAlign w:val="bottom"/>
          </w:tcPr>
          <w:p>
            <w:pPr>
              <w:spacing w:after="0"/>
              <w:rPr>
                <w:sz w:val="19"/>
                <w:szCs w:val="19"/>
                <w:color w:val="auto"/>
              </w:rPr>
            </w:pPr>
          </w:p>
        </w:tc>
        <w:tc>
          <w:tcPr>
            <w:tcW w:w="3660" w:type="dxa"/>
            <w:vAlign w:val="bottom"/>
          </w:tcPr>
          <w:p>
            <w:pPr>
              <w:spacing w:after="0"/>
              <w:rPr>
                <w:sz w:val="19"/>
                <w:szCs w:val="19"/>
                <w:color w:val="auto"/>
              </w:rPr>
            </w:pPr>
          </w:p>
        </w:tc>
      </w:tr>
      <w:tr>
        <w:trPr>
          <w:trHeight w:val="439"/>
        </w:trPr>
        <w:tc>
          <w:tcPr>
            <w:tcW w:w="38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60" w:type="dxa"/>
            <w:vAlign w:val="bottom"/>
          </w:tcPr>
          <w:p>
            <w:pPr>
              <w:ind w:left="1380"/>
              <w:spacing w:after="0"/>
              <w:rPr>
                <w:sz w:val="20"/>
                <w:szCs w:val="20"/>
                <w:color w:val="auto"/>
              </w:rPr>
            </w:pPr>
            <w:r>
              <w:rPr>
                <w:rFonts w:ascii="Arial" w:cs="Arial" w:eastAsia="Arial" w:hAnsi="Arial"/>
                <w:sz w:val="18"/>
                <w:szCs w:val="18"/>
                <w:b w:val="1"/>
                <w:bCs w:val="1"/>
                <w:i w:val="1"/>
                <w:iCs w:val="1"/>
                <w:color w:val="auto"/>
              </w:rPr>
              <w:t>Proportion held by</w:t>
            </w:r>
          </w:p>
        </w:tc>
      </w:tr>
      <w:tr>
        <w:trPr>
          <w:trHeight w:val="224"/>
        </w:trPr>
        <w:tc>
          <w:tcPr>
            <w:tcW w:w="38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Name</w:t>
            </w:r>
          </w:p>
        </w:tc>
        <w:tc>
          <w:tcPr>
            <w:tcW w:w="3940" w:type="dxa"/>
            <w:vAlign w:val="bottom"/>
          </w:tcPr>
          <w:p>
            <w:pPr>
              <w:ind w:left="760"/>
              <w:spacing w:after="0"/>
              <w:rPr>
                <w:sz w:val="20"/>
                <w:szCs w:val="20"/>
                <w:color w:val="auto"/>
              </w:rPr>
            </w:pPr>
            <w:r>
              <w:rPr>
                <w:rFonts w:ascii="Arial" w:cs="Arial" w:eastAsia="Arial" w:hAnsi="Arial"/>
                <w:sz w:val="18"/>
                <w:szCs w:val="18"/>
                <w:b w:val="1"/>
                <w:bCs w:val="1"/>
                <w:i w:val="1"/>
                <w:iCs w:val="1"/>
                <w:color w:val="auto"/>
              </w:rPr>
              <w:t>Registered Office</w:t>
            </w:r>
          </w:p>
        </w:tc>
        <w:tc>
          <w:tcPr>
            <w:tcW w:w="3660" w:type="dxa"/>
            <w:vAlign w:val="bottom"/>
          </w:tcPr>
          <w:p>
            <w:pPr>
              <w:ind w:left="1380"/>
              <w:spacing w:after="0"/>
              <w:rPr>
                <w:sz w:val="20"/>
                <w:szCs w:val="20"/>
                <w:color w:val="auto"/>
              </w:rPr>
            </w:pPr>
            <w:r>
              <w:rPr>
                <w:rFonts w:ascii="Arial" w:cs="Arial" w:eastAsia="Arial" w:hAnsi="Arial"/>
                <w:sz w:val="18"/>
                <w:szCs w:val="18"/>
                <w:b w:val="1"/>
                <w:bCs w:val="1"/>
                <w:i w:val="1"/>
                <w:iCs w:val="1"/>
                <w:color w:val="auto"/>
              </w:rPr>
              <w:t>group</w:t>
            </w:r>
          </w:p>
        </w:tc>
      </w:tr>
      <w:tr>
        <w:trPr>
          <w:trHeight w:val="200"/>
        </w:trPr>
        <w:tc>
          <w:tcPr>
            <w:tcW w:w="3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ICON Medical Imaging AG</w:t>
            </w:r>
          </w:p>
        </w:tc>
        <w:tc>
          <w:tcPr>
            <w:tcW w:w="3940" w:type="dxa"/>
            <w:vAlign w:val="bottom"/>
            <w:shd w:val="clear" w:color="auto" w:fill="CCEEFF"/>
          </w:tcPr>
          <w:p>
            <w:pPr>
              <w:ind w:left="760"/>
              <w:spacing w:after="0" w:line="201" w:lineRule="exact"/>
              <w:rPr>
                <w:sz w:val="20"/>
                <w:szCs w:val="20"/>
                <w:color w:val="auto"/>
              </w:rPr>
            </w:pPr>
            <w:r>
              <w:rPr>
                <w:rFonts w:ascii="Arial" w:cs="Arial" w:eastAsia="Arial" w:hAnsi="Arial"/>
                <w:sz w:val="18"/>
                <w:szCs w:val="18"/>
                <w:color w:val="auto"/>
              </w:rPr>
              <w:t>Zeltweg 46</w:t>
            </w:r>
          </w:p>
        </w:tc>
        <w:tc>
          <w:tcPr>
            <w:tcW w:w="3660" w:type="dxa"/>
            <w:vAlign w:val="bottom"/>
            <w:shd w:val="clear" w:color="auto" w:fill="CCEEFF"/>
          </w:tcPr>
          <w:p>
            <w:pPr>
              <w:ind w:left="1380"/>
              <w:spacing w:after="0" w:line="201"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8032 Zurich</w:t>
            </w:r>
          </w:p>
        </w:tc>
        <w:tc>
          <w:tcPr>
            <w:tcW w:w="366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Switzerland</w:t>
            </w:r>
          </w:p>
        </w:tc>
        <w:tc>
          <w:tcPr>
            <w:tcW w:w="3660" w:type="dxa"/>
            <w:vAlign w:val="bottom"/>
            <w:shd w:val="clear" w:color="auto" w:fill="CCEEFF"/>
          </w:tcPr>
          <w:p>
            <w:pPr>
              <w:spacing w:after="0"/>
              <w:rPr>
                <w:sz w:val="19"/>
                <w:szCs w:val="19"/>
                <w:color w:val="auto"/>
              </w:rPr>
            </w:pPr>
          </w:p>
        </w:tc>
      </w:tr>
      <w:tr>
        <w:trPr>
          <w:trHeight w:val="212"/>
        </w:trPr>
        <w:tc>
          <w:tcPr>
            <w:tcW w:w="38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00"/>
        </w:trPr>
        <w:tc>
          <w:tcPr>
            <w:tcW w:w="38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DOCS International Switzerland GmbH</w:t>
            </w:r>
          </w:p>
        </w:tc>
        <w:tc>
          <w:tcPr>
            <w:tcW w:w="3940" w:type="dxa"/>
            <w:vAlign w:val="bottom"/>
            <w:shd w:val="clear" w:color="auto" w:fill="CCEEFF"/>
          </w:tcPr>
          <w:p>
            <w:pPr>
              <w:ind w:left="760"/>
              <w:spacing w:after="0" w:line="200" w:lineRule="exact"/>
              <w:rPr>
                <w:sz w:val="20"/>
                <w:szCs w:val="20"/>
                <w:color w:val="auto"/>
              </w:rPr>
            </w:pPr>
            <w:r>
              <w:rPr>
                <w:rFonts w:ascii="Arial" w:cs="Arial" w:eastAsia="Arial" w:hAnsi="Arial"/>
                <w:sz w:val="18"/>
                <w:szCs w:val="18"/>
                <w:color w:val="auto"/>
              </w:rPr>
              <w:t>Steinengraben 40,</w:t>
            </w:r>
          </w:p>
        </w:tc>
        <w:tc>
          <w:tcPr>
            <w:tcW w:w="3660" w:type="dxa"/>
            <w:vAlign w:val="bottom"/>
            <w:shd w:val="clear" w:color="auto" w:fill="CCEEFF"/>
          </w:tcPr>
          <w:p>
            <w:pPr>
              <w:ind w:left="13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c/o Experfina AG,</w:t>
            </w:r>
          </w:p>
        </w:tc>
        <w:tc>
          <w:tcPr>
            <w:tcW w:w="366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CH-4002 Basel</w:t>
            </w:r>
          </w:p>
        </w:tc>
        <w:tc>
          <w:tcPr>
            <w:tcW w:w="366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Switzerland</w:t>
            </w:r>
          </w:p>
        </w:tc>
        <w:tc>
          <w:tcPr>
            <w:tcW w:w="3660" w:type="dxa"/>
            <w:vAlign w:val="bottom"/>
            <w:shd w:val="clear" w:color="auto" w:fill="CCEEFF"/>
          </w:tcPr>
          <w:p>
            <w:pPr>
              <w:spacing w:after="0"/>
              <w:rPr>
                <w:sz w:val="19"/>
                <w:szCs w:val="19"/>
                <w:color w:val="auto"/>
              </w:rPr>
            </w:pPr>
          </w:p>
        </w:tc>
      </w:tr>
      <w:tr>
        <w:trPr>
          <w:trHeight w:val="212"/>
        </w:trPr>
        <w:tc>
          <w:tcPr>
            <w:tcW w:w="38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00"/>
        </w:trPr>
        <w:tc>
          <w:tcPr>
            <w:tcW w:w="38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Clinical Research LLC</w:t>
            </w:r>
          </w:p>
        </w:tc>
        <w:tc>
          <w:tcPr>
            <w:tcW w:w="3940" w:type="dxa"/>
            <w:vAlign w:val="bottom"/>
            <w:shd w:val="clear" w:color="auto" w:fill="CCEEFF"/>
          </w:tcPr>
          <w:p>
            <w:pPr>
              <w:ind w:left="760"/>
              <w:spacing w:after="0" w:line="200" w:lineRule="exact"/>
              <w:rPr>
                <w:sz w:val="20"/>
                <w:szCs w:val="20"/>
                <w:color w:val="auto"/>
              </w:rPr>
            </w:pPr>
            <w:r>
              <w:rPr>
                <w:rFonts w:ascii="Arial" w:cs="Arial" w:eastAsia="Arial" w:hAnsi="Arial"/>
                <w:sz w:val="18"/>
                <w:szCs w:val="18"/>
                <w:color w:val="auto"/>
              </w:rPr>
              <w:t>4th Floor,</w:t>
            </w:r>
          </w:p>
        </w:tc>
        <w:tc>
          <w:tcPr>
            <w:tcW w:w="3660" w:type="dxa"/>
            <w:vAlign w:val="bottom"/>
            <w:shd w:val="clear" w:color="auto" w:fill="CCEEFF"/>
          </w:tcPr>
          <w:p>
            <w:pPr>
              <w:ind w:left="13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St. Poleva 24,</w:t>
            </w:r>
          </w:p>
        </w:tc>
        <w:tc>
          <w:tcPr>
            <w:tcW w:w="366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Kiev,</w:t>
            </w:r>
          </w:p>
        </w:tc>
        <w:tc>
          <w:tcPr>
            <w:tcW w:w="366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Ukraine, 03056</w:t>
            </w:r>
          </w:p>
        </w:tc>
        <w:tc>
          <w:tcPr>
            <w:tcW w:w="3660" w:type="dxa"/>
            <w:vAlign w:val="bottom"/>
            <w:shd w:val="clear" w:color="auto" w:fill="CCEEFF"/>
          </w:tcPr>
          <w:p>
            <w:pPr>
              <w:spacing w:after="0"/>
              <w:rPr>
                <w:sz w:val="19"/>
                <w:szCs w:val="19"/>
                <w:color w:val="auto"/>
              </w:rPr>
            </w:pPr>
          </w:p>
        </w:tc>
      </w:tr>
      <w:tr>
        <w:trPr>
          <w:trHeight w:val="212"/>
        </w:trPr>
        <w:tc>
          <w:tcPr>
            <w:tcW w:w="38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00"/>
        </w:trPr>
        <w:tc>
          <w:tcPr>
            <w:tcW w:w="38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Development Solutions Limited</w:t>
            </w:r>
          </w:p>
        </w:tc>
        <w:tc>
          <w:tcPr>
            <w:tcW w:w="3940" w:type="dxa"/>
            <w:vAlign w:val="bottom"/>
            <w:shd w:val="clear" w:color="auto" w:fill="CCEEFF"/>
          </w:tcPr>
          <w:p>
            <w:pPr>
              <w:ind w:left="760"/>
              <w:spacing w:after="0" w:line="200" w:lineRule="exact"/>
              <w:rPr>
                <w:sz w:val="20"/>
                <w:szCs w:val="20"/>
                <w:color w:val="auto"/>
              </w:rPr>
            </w:pPr>
            <w:r>
              <w:rPr>
                <w:rFonts w:ascii="Arial" w:cs="Arial" w:eastAsia="Arial" w:hAnsi="Arial"/>
                <w:sz w:val="18"/>
                <w:szCs w:val="18"/>
                <w:color w:val="auto"/>
              </w:rPr>
              <w:t>Skelton House</w:t>
            </w:r>
          </w:p>
        </w:tc>
        <w:tc>
          <w:tcPr>
            <w:tcW w:w="3660" w:type="dxa"/>
            <w:vAlign w:val="bottom"/>
            <w:shd w:val="clear" w:color="auto" w:fill="CCEEFF"/>
          </w:tcPr>
          <w:p>
            <w:pPr>
              <w:ind w:left="13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Manchester Science Park</w:t>
            </w:r>
          </w:p>
        </w:tc>
        <w:tc>
          <w:tcPr>
            <w:tcW w:w="366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Lloyd Street North</w:t>
            </w:r>
          </w:p>
        </w:tc>
        <w:tc>
          <w:tcPr>
            <w:tcW w:w="366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Manchester</w:t>
            </w:r>
          </w:p>
        </w:tc>
        <w:tc>
          <w:tcPr>
            <w:tcW w:w="366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UK M15 6SH</w:t>
            </w:r>
          </w:p>
        </w:tc>
        <w:tc>
          <w:tcPr>
            <w:tcW w:w="366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United Kingdom</w:t>
            </w:r>
          </w:p>
        </w:tc>
        <w:tc>
          <w:tcPr>
            <w:tcW w:w="3660" w:type="dxa"/>
            <w:vAlign w:val="bottom"/>
            <w:shd w:val="clear" w:color="auto" w:fill="CCEEFF"/>
          </w:tcPr>
          <w:p>
            <w:pPr>
              <w:spacing w:after="0"/>
              <w:rPr>
                <w:sz w:val="19"/>
                <w:szCs w:val="19"/>
                <w:color w:val="auto"/>
              </w:rPr>
            </w:pPr>
          </w:p>
        </w:tc>
      </w:tr>
      <w:tr>
        <w:trPr>
          <w:trHeight w:val="212"/>
        </w:trPr>
        <w:tc>
          <w:tcPr>
            <w:tcW w:w="38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00"/>
        </w:trPr>
        <w:tc>
          <w:tcPr>
            <w:tcW w:w="38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DOCS International UK Limited</w:t>
            </w:r>
          </w:p>
        </w:tc>
        <w:tc>
          <w:tcPr>
            <w:tcW w:w="3940" w:type="dxa"/>
            <w:vAlign w:val="bottom"/>
            <w:shd w:val="clear" w:color="auto" w:fill="CCEEFF"/>
          </w:tcPr>
          <w:p>
            <w:pPr>
              <w:ind w:left="760"/>
              <w:spacing w:after="0" w:line="200" w:lineRule="exact"/>
              <w:rPr>
                <w:sz w:val="20"/>
                <w:szCs w:val="20"/>
                <w:color w:val="auto"/>
              </w:rPr>
            </w:pPr>
            <w:r>
              <w:rPr>
                <w:rFonts w:ascii="Arial" w:cs="Arial" w:eastAsia="Arial" w:hAnsi="Arial"/>
                <w:sz w:val="18"/>
                <w:szCs w:val="18"/>
                <w:color w:val="auto"/>
              </w:rPr>
              <w:t>Concept House,</w:t>
            </w:r>
          </w:p>
        </w:tc>
        <w:tc>
          <w:tcPr>
            <w:tcW w:w="3660" w:type="dxa"/>
            <w:vAlign w:val="bottom"/>
            <w:shd w:val="clear" w:color="auto" w:fill="CCEEFF"/>
          </w:tcPr>
          <w:p>
            <w:pPr>
              <w:ind w:left="13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6 Stoneycroft Rise</w:t>
            </w:r>
          </w:p>
        </w:tc>
        <w:tc>
          <w:tcPr>
            <w:tcW w:w="366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Chandlers Ford,</w:t>
            </w:r>
          </w:p>
        </w:tc>
        <w:tc>
          <w:tcPr>
            <w:tcW w:w="366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Eastleigh,</w:t>
            </w:r>
          </w:p>
        </w:tc>
        <w:tc>
          <w:tcPr>
            <w:tcW w:w="366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Hampshire,</w:t>
            </w:r>
          </w:p>
        </w:tc>
        <w:tc>
          <w:tcPr>
            <w:tcW w:w="366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SO53 3LD</w:t>
            </w:r>
          </w:p>
        </w:tc>
        <w:tc>
          <w:tcPr>
            <w:tcW w:w="366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United Kingdom</w:t>
            </w:r>
          </w:p>
        </w:tc>
        <w:tc>
          <w:tcPr>
            <w:tcW w:w="3660" w:type="dxa"/>
            <w:vAlign w:val="bottom"/>
            <w:shd w:val="clear" w:color="auto" w:fill="CCEEFF"/>
          </w:tcPr>
          <w:p>
            <w:pPr>
              <w:spacing w:after="0"/>
              <w:rPr>
                <w:sz w:val="19"/>
                <w:szCs w:val="19"/>
                <w:color w:val="auto"/>
              </w:rPr>
            </w:pPr>
          </w:p>
        </w:tc>
      </w:tr>
      <w:tr>
        <w:trPr>
          <w:trHeight w:val="212"/>
        </w:trPr>
        <w:tc>
          <w:tcPr>
            <w:tcW w:w="38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00"/>
        </w:trPr>
        <w:tc>
          <w:tcPr>
            <w:tcW w:w="38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Oxford Outcomes Limited</w:t>
            </w:r>
          </w:p>
        </w:tc>
        <w:tc>
          <w:tcPr>
            <w:tcW w:w="3940" w:type="dxa"/>
            <w:vAlign w:val="bottom"/>
            <w:shd w:val="clear" w:color="auto" w:fill="CCEEFF"/>
          </w:tcPr>
          <w:p>
            <w:pPr>
              <w:ind w:left="760"/>
              <w:spacing w:after="0" w:line="200" w:lineRule="exact"/>
              <w:rPr>
                <w:sz w:val="20"/>
                <w:szCs w:val="20"/>
                <w:color w:val="auto"/>
              </w:rPr>
            </w:pPr>
            <w:r>
              <w:rPr>
                <w:rFonts w:ascii="Arial" w:cs="Arial" w:eastAsia="Arial" w:hAnsi="Arial"/>
                <w:sz w:val="18"/>
                <w:szCs w:val="18"/>
                <w:color w:val="auto"/>
              </w:rPr>
              <w:t>Seacourt Tower</w:t>
            </w:r>
          </w:p>
        </w:tc>
        <w:tc>
          <w:tcPr>
            <w:tcW w:w="3660" w:type="dxa"/>
            <w:vAlign w:val="bottom"/>
            <w:shd w:val="clear" w:color="auto" w:fill="CCEEFF"/>
          </w:tcPr>
          <w:p>
            <w:pPr>
              <w:ind w:left="13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West Way</w:t>
            </w:r>
          </w:p>
        </w:tc>
        <w:tc>
          <w:tcPr>
            <w:tcW w:w="366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Oxford</w:t>
            </w:r>
          </w:p>
        </w:tc>
        <w:tc>
          <w:tcPr>
            <w:tcW w:w="366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OX2 0JJ</w:t>
            </w:r>
          </w:p>
        </w:tc>
        <w:tc>
          <w:tcPr>
            <w:tcW w:w="366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United Kingdom</w:t>
            </w:r>
          </w:p>
        </w:tc>
        <w:tc>
          <w:tcPr>
            <w:tcW w:w="3660" w:type="dxa"/>
            <w:vAlign w:val="bottom"/>
            <w:shd w:val="clear" w:color="auto" w:fill="CCEEFF"/>
          </w:tcPr>
          <w:p>
            <w:pPr>
              <w:spacing w:after="0"/>
              <w:rPr>
                <w:sz w:val="19"/>
                <w:szCs w:val="19"/>
                <w:color w:val="auto"/>
              </w:rPr>
            </w:pPr>
          </w:p>
        </w:tc>
      </w:tr>
      <w:tr>
        <w:trPr>
          <w:trHeight w:val="212"/>
        </w:trPr>
        <w:tc>
          <w:tcPr>
            <w:tcW w:w="38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00"/>
        </w:trPr>
        <w:tc>
          <w:tcPr>
            <w:tcW w:w="38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PriceSpective Limited</w:t>
            </w:r>
          </w:p>
        </w:tc>
        <w:tc>
          <w:tcPr>
            <w:tcW w:w="3940" w:type="dxa"/>
            <w:vAlign w:val="bottom"/>
            <w:shd w:val="clear" w:color="auto" w:fill="CCEEFF"/>
          </w:tcPr>
          <w:p>
            <w:pPr>
              <w:ind w:left="760"/>
              <w:spacing w:after="0" w:line="200" w:lineRule="exact"/>
              <w:rPr>
                <w:sz w:val="20"/>
                <w:szCs w:val="20"/>
                <w:color w:val="auto"/>
              </w:rPr>
            </w:pPr>
            <w:r>
              <w:rPr>
                <w:rFonts w:ascii="Arial" w:cs="Arial" w:eastAsia="Arial" w:hAnsi="Arial"/>
                <w:sz w:val="18"/>
                <w:szCs w:val="18"/>
                <w:color w:val="auto"/>
              </w:rPr>
              <w:t>c/o Harwood Hutton,</w:t>
            </w:r>
          </w:p>
        </w:tc>
        <w:tc>
          <w:tcPr>
            <w:tcW w:w="3660" w:type="dxa"/>
            <w:vAlign w:val="bottom"/>
            <w:shd w:val="clear" w:color="auto" w:fill="CCEEFF"/>
          </w:tcPr>
          <w:p>
            <w:pPr>
              <w:ind w:left="13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820" w:type="dxa"/>
            <w:vAlign w:val="bottom"/>
            <w:shd w:val="clear" w:color="auto" w:fill="CCEEFF"/>
          </w:tcPr>
          <w:p>
            <w:pPr>
              <w:spacing w:after="0"/>
              <w:rPr>
                <w:sz w:val="18"/>
                <w:szCs w:val="18"/>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22 Wycombe End,</w:t>
            </w:r>
          </w:p>
        </w:tc>
        <w:tc>
          <w:tcPr>
            <w:tcW w:w="366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Beaconsfield,</w:t>
            </w:r>
          </w:p>
        </w:tc>
        <w:tc>
          <w:tcPr>
            <w:tcW w:w="366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Buckinghamshire,</w:t>
            </w:r>
          </w:p>
        </w:tc>
        <w:tc>
          <w:tcPr>
            <w:tcW w:w="3660" w:type="dxa"/>
            <w:vAlign w:val="bottom"/>
            <w:shd w:val="clear" w:color="auto" w:fill="CCEEFF"/>
          </w:tcPr>
          <w:p>
            <w:pPr>
              <w:spacing w:after="0"/>
              <w:rPr>
                <w:sz w:val="18"/>
                <w:szCs w:val="18"/>
                <w:color w:val="auto"/>
              </w:rPr>
            </w:pPr>
          </w:p>
        </w:tc>
      </w:tr>
      <w:tr>
        <w:trPr>
          <w:trHeight w:val="212"/>
        </w:trPr>
        <w:tc>
          <w:tcPr>
            <w:tcW w:w="3820" w:type="dxa"/>
            <w:vAlign w:val="bottom"/>
            <w:shd w:val="clear" w:color="auto" w:fill="CCEEFF"/>
          </w:tcPr>
          <w:p>
            <w:pPr>
              <w:spacing w:after="0"/>
              <w:rPr>
                <w:sz w:val="18"/>
                <w:szCs w:val="18"/>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HP9 1NB,</w:t>
            </w:r>
          </w:p>
        </w:tc>
        <w:tc>
          <w:tcPr>
            <w:tcW w:w="3660" w:type="dxa"/>
            <w:vAlign w:val="bottom"/>
            <w:shd w:val="clear" w:color="auto" w:fill="CCEEFF"/>
          </w:tcPr>
          <w:p>
            <w:pPr>
              <w:spacing w:after="0"/>
              <w:rPr>
                <w:sz w:val="18"/>
                <w:szCs w:val="18"/>
                <w:color w:val="auto"/>
              </w:rPr>
            </w:pPr>
          </w:p>
        </w:tc>
      </w:tr>
      <w:tr>
        <w:trPr>
          <w:trHeight w:val="225"/>
        </w:trPr>
        <w:tc>
          <w:tcPr>
            <w:tcW w:w="3820" w:type="dxa"/>
            <w:vAlign w:val="bottom"/>
            <w:shd w:val="clear" w:color="auto" w:fill="CCEEFF"/>
          </w:tcPr>
          <w:p>
            <w:pPr>
              <w:spacing w:after="0"/>
              <w:rPr>
                <w:sz w:val="19"/>
                <w:szCs w:val="19"/>
                <w:color w:val="auto"/>
              </w:rPr>
            </w:pPr>
          </w:p>
        </w:tc>
        <w:tc>
          <w:tcPr>
            <w:tcW w:w="3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United Kingdom</w:t>
            </w:r>
          </w:p>
        </w:tc>
        <w:tc>
          <w:tcPr>
            <w:tcW w:w="3660" w:type="dxa"/>
            <w:vAlign w:val="bottom"/>
            <w:shd w:val="clear" w:color="auto" w:fill="CCEEFF"/>
          </w:tcPr>
          <w:p>
            <w:pPr>
              <w:spacing w:after="0"/>
              <w:rPr>
                <w:sz w:val="19"/>
                <w:szCs w:val="19"/>
                <w:color w:val="auto"/>
              </w:rPr>
            </w:pPr>
          </w:p>
        </w:tc>
      </w:tr>
      <w:tr>
        <w:trPr>
          <w:trHeight w:val="412"/>
        </w:trPr>
        <w:tc>
          <w:tcPr>
            <w:tcW w:w="3820" w:type="dxa"/>
            <w:vAlign w:val="bottom"/>
          </w:tcPr>
          <w:p>
            <w:pPr>
              <w:ind w:left="160"/>
              <w:spacing w:after="0"/>
              <w:rPr>
                <w:sz w:val="20"/>
                <w:szCs w:val="20"/>
                <w:color w:val="auto"/>
              </w:rPr>
            </w:pPr>
            <w:r>
              <w:rPr>
                <w:rFonts w:ascii="Arial" w:cs="Arial" w:eastAsia="Arial" w:hAnsi="Arial"/>
                <w:sz w:val="18"/>
                <w:szCs w:val="18"/>
                <w:color w:val="auto"/>
              </w:rPr>
              <w:t>ICON Clinical Research (U.K.) Limited</w:t>
            </w:r>
          </w:p>
        </w:tc>
        <w:tc>
          <w:tcPr>
            <w:tcW w:w="3940" w:type="dxa"/>
            <w:vAlign w:val="bottom"/>
          </w:tcPr>
          <w:p>
            <w:pPr>
              <w:ind w:left="760"/>
              <w:spacing w:after="0"/>
              <w:rPr>
                <w:sz w:val="20"/>
                <w:szCs w:val="20"/>
                <w:color w:val="auto"/>
              </w:rPr>
            </w:pPr>
            <w:r>
              <w:rPr>
                <w:rFonts w:ascii="Arial" w:cs="Arial" w:eastAsia="Arial" w:hAnsi="Arial"/>
                <w:sz w:val="18"/>
                <w:szCs w:val="18"/>
                <w:color w:val="auto"/>
              </w:rPr>
              <w:t>Concept House,</w:t>
            </w:r>
          </w:p>
        </w:tc>
        <w:tc>
          <w:tcPr>
            <w:tcW w:w="3660" w:type="dxa"/>
            <w:vAlign w:val="bottom"/>
          </w:tcPr>
          <w:p>
            <w:pPr>
              <w:ind w:left="1380"/>
              <w:spacing w:after="0"/>
              <w:rPr>
                <w:sz w:val="20"/>
                <w:szCs w:val="20"/>
                <w:color w:val="auto"/>
              </w:rPr>
            </w:pPr>
            <w:r>
              <w:rPr>
                <w:rFonts w:ascii="Arial" w:cs="Arial" w:eastAsia="Arial" w:hAnsi="Arial"/>
                <w:sz w:val="18"/>
                <w:szCs w:val="18"/>
                <w:color w:val="auto"/>
              </w:rPr>
              <w:t>100%*</w:t>
            </w:r>
          </w:p>
        </w:tc>
      </w:tr>
      <w:tr>
        <w:trPr>
          <w:trHeight w:val="223"/>
        </w:trPr>
        <w:tc>
          <w:tcPr>
            <w:tcW w:w="3820" w:type="dxa"/>
            <w:vAlign w:val="bottom"/>
          </w:tcPr>
          <w:p>
            <w:pPr>
              <w:spacing w:after="0"/>
              <w:rPr>
                <w:sz w:val="19"/>
                <w:szCs w:val="19"/>
                <w:color w:val="auto"/>
              </w:rPr>
            </w:pPr>
          </w:p>
        </w:tc>
        <w:tc>
          <w:tcPr>
            <w:tcW w:w="3940" w:type="dxa"/>
            <w:vAlign w:val="bottom"/>
          </w:tcPr>
          <w:p>
            <w:pPr>
              <w:ind w:left="760"/>
              <w:spacing w:after="0"/>
              <w:rPr>
                <w:sz w:val="20"/>
                <w:szCs w:val="20"/>
                <w:color w:val="auto"/>
              </w:rPr>
            </w:pPr>
            <w:r>
              <w:rPr>
                <w:rFonts w:ascii="Arial" w:cs="Arial" w:eastAsia="Arial" w:hAnsi="Arial"/>
                <w:sz w:val="18"/>
                <w:szCs w:val="18"/>
                <w:color w:val="auto"/>
              </w:rPr>
              <w:t>6 Stoneycroft Rise,</w:t>
            </w:r>
          </w:p>
        </w:tc>
        <w:tc>
          <w:tcPr>
            <w:tcW w:w="36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-267970</wp:posOffset>
            </wp:positionV>
            <wp:extent cx="7249160" cy="9429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9160" cy="942975"/>
                    </a:xfrm>
                    <a:prstGeom prst="rect">
                      <a:avLst/>
                    </a:prstGeom>
                    <a:noFill/>
                  </pic:spPr>
                </pic:pic>
              </a:graphicData>
            </a:graphic>
          </wp:anchor>
        </w:drawing>
      </w:r>
    </w:p>
    <w:p>
      <w:pPr>
        <w:ind w:left="4580"/>
        <w:spacing w:after="0"/>
        <w:rPr>
          <w:sz w:val="20"/>
          <w:szCs w:val="20"/>
          <w:color w:val="auto"/>
        </w:rPr>
      </w:pPr>
      <w:r>
        <w:rPr>
          <w:rFonts w:ascii="Arial" w:cs="Arial" w:eastAsia="Arial" w:hAnsi="Arial"/>
          <w:sz w:val="18"/>
          <w:szCs w:val="18"/>
          <w:color w:val="auto"/>
        </w:rPr>
        <w:t>Chandlers Ford,</w:t>
      </w:r>
    </w:p>
    <w:p>
      <w:pPr>
        <w:spacing w:after="0" w:line="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Eastleigh,</w:t>
      </w:r>
    </w:p>
    <w:p>
      <w:pPr>
        <w:spacing w:after="0" w:line="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Hampshire,</w:t>
      </w:r>
    </w:p>
    <w:p>
      <w:pPr>
        <w:spacing w:after="0" w:line="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SO53 3LD.</w:t>
      </w:r>
    </w:p>
    <w:p>
      <w:pPr>
        <w:spacing w:after="0" w:line="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United Kingdom</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20"/>
                <w:szCs w:val="20"/>
                <w:color w:val="auto"/>
              </w:rPr>
            </w:pPr>
            <w:r>
              <w:rPr>
                <w:rFonts w:ascii="Arial" w:cs="Arial" w:eastAsia="Arial" w:hAnsi="Arial"/>
                <w:sz w:val="18"/>
                <w:szCs w:val="18"/>
                <w:b w:val="1"/>
                <w:bCs w:val="1"/>
                <w:color w:val="auto"/>
              </w:rPr>
              <w:t xml:space="preserve">31. Subsidiary Undertakings </w:t>
            </w:r>
            <w:r>
              <w:rPr>
                <w:rFonts w:ascii="Arial" w:cs="Arial" w:eastAsia="Arial" w:hAnsi="Arial"/>
                <w:sz w:val="18"/>
                <w:szCs w:val="18"/>
                <w:b w:val="1"/>
                <w:bCs w:val="1"/>
                <w:i w:val="1"/>
                <w:iCs w:val="1"/>
                <w:color w:val="auto"/>
              </w:rPr>
              <w:t>(continued)</w:t>
            </w:r>
          </w:p>
        </w:tc>
        <w:tc>
          <w:tcPr>
            <w:tcW w:w="410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439"/>
        </w:trPr>
        <w:tc>
          <w:tcPr>
            <w:tcW w:w="40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30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Proportion held by</w:t>
            </w:r>
          </w:p>
        </w:tc>
      </w:tr>
      <w:tr>
        <w:trPr>
          <w:trHeight w:val="224"/>
        </w:trPr>
        <w:tc>
          <w:tcPr>
            <w:tcW w:w="40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Name</w:t>
            </w:r>
          </w:p>
        </w:tc>
        <w:tc>
          <w:tcPr>
            <w:tcW w:w="4100" w:type="dxa"/>
            <w:vAlign w:val="bottom"/>
          </w:tcPr>
          <w:p>
            <w:pPr>
              <w:ind w:left="560"/>
              <w:spacing w:after="0"/>
              <w:rPr>
                <w:sz w:val="20"/>
                <w:szCs w:val="20"/>
                <w:color w:val="auto"/>
              </w:rPr>
            </w:pPr>
            <w:r>
              <w:rPr>
                <w:rFonts w:ascii="Arial" w:cs="Arial" w:eastAsia="Arial" w:hAnsi="Arial"/>
                <w:sz w:val="18"/>
                <w:szCs w:val="18"/>
                <w:b w:val="1"/>
                <w:bCs w:val="1"/>
                <w:i w:val="1"/>
                <w:iCs w:val="1"/>
                <w:color w:val="auto"/>
              </w:rPr>
              <w:t>Registered Office</w:t>
            </w:r>
          </w:p>
        </w:tc>
        <w:tc>
          <w:tcPr>
            <w:tcW w:w="330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group</w:t>
            </w:r>
          </w:p>
        </w:tc>
      </w:tr>
      <w:tr>
        <w:trPr>
          <w:trHeight w:val="200"/>
        </w:trPr>
        <w:tc>
          <w:tcPr>
            <w:tcW w:w="4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Akos Limited</w:t>
            </w:r>
          </w:p>
        </w:tc>
        <w:tc>
          <w:tcPr>
            <w:tcW w:w="410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The Coach House</w:t>
            </w:r>
          </w:p>
        </w:tc>
        <w:tc>
          <w:tcPr>
            <w:tcW w:w="3300" w:type="dxa"/>
            <w:vAlign w:val="bottom"/>
            <w:shd w:val="clear" w:color="auto" w:fill="CCEEFF"/>
          </w:tcPr>
          <w:p>
            <w:pPr>
              <w:ind w:left="1020"/>
              <w:spacing w:after="0" w:line="201" w:lineRule="exact"/>
              <w:rPr>
                <w:sz w:val="20"/>
                <w:szCs w:val="20"/>
                <w:color w:val="auto"/>
              </w:rPr>
            </w:pPr>
            <w:r>
              <w:rPr>
                <w:rFonts w:ascii="Arial" w:cs="Arial" w:eastAsia="Arial" w:hAnsi="Arial"/>
                <w:sz w:val="18"/>
                <w:szCs w:val="18"/>
                <w:color w:val="auto"/>
              </w:rPr>
              <w:t>100%</w:t>
            </w: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The Grove Pipers Lane</w:t>
            </w:r>
          </w:p>
        </w:tc>
        <w:tc>
          <w:tcPr>
            <w:tcW w:w="3300" w:type="dxa"/>
            <w:vAlign w:val="bottom"/>
            <w:shd w:val="clear" w:color="auto" w:fill="CCEEFF"/>
          </w:tcPr>
          <w:p>
            <w:pPr>
              <w:spacing w:after="0"/>
              <w:rPr>
                <w:sz w:val="18"/>
                <w:szCs w:val="18"/>
                <w:color w:val="auto"/>
              </w:rPr>
            </w:pP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Harpenden</w:t>
            </w:r>
          </w:p>
        </w:tc>
        <w:tc>
          <w:tcPr>
            <w:tcW w:w="3300" w:type="dxa"/>
            <w:vAlign w:val="bottom"/>
            <w:shd w:val="clear" w:color="auto" w:fill="CCEEFF"/>
          </w:tcPr>
          <w:p>
            <w:pPr>
              <w:spacing w:after="0"/>
              <w:rPr>
                <w:sz w:val="18"/>
                <w:szCs w:val="18"/>
                <w:color w:val="auto"/>
              </w:rPr>
            </w:pP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Hertfordshire</w:t>
            </w:r>
          </w:p>
        </w:tc>
        <w:tc>
          <w:tcPr>
            <w:tcW w:w="3300" w:type="dxa"/>
            <w:vAlign w:val="bottom"/>
            <w:shd w:val="clear" w:color="auto" w:fill="CCEEFF"/>
          </w:tcPr>
          <w:p>
            <w:pPr>
              <w:spacing w:after="0"/>
              <w:rPr>
                <w:sz w:val="18"/>
                <w:szCs w:val="18"/>
                <w:color w:val="auto"/>
              </w:rPr>
            </w:pP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AL5 1AH</w:t>
            </w:r>
          </w:p>
        </w:tc>
        <w:tc>
          <w:tcPr>
            <w:tcW w:w="3300" w:type="dxa"/>
            <w:vAlign w:val="bottom"/>
            <w:shd w:val="clear" w:color="auto" w:fill="CCEEFF"/>
          </w:tcPr>
          <w:p>
            <w:pPr>
              <w:spacing w:after="0"/>
              <w:rPr>
                <w:sz w:val="18"/>
                <w:szCs w:val="18"/>
                <w:color w:val="auto"/>
              </w:rPr>
            </w:pPr>
          </w:p>
        </w:tc>
      </w:tr>
      <w:tr>
        <w:trPr>
          <w:trHeight w:val="225"/>
        </w:trPr>
        <w:tc>
          <w:tcPr>
            <w:tcW w:w="4020" w:type="dxa"/>
            <w:vAlign w:val="bottom"/>
            <w:shd w:val="clear" w:color="auto" w:fill="CCEEFF"/>
          </w:tcPr>
          <w:p>
            <w:pPr>
              <w:spacing w:after="0"/>
              <w:rPr>
                <w:sz w:val="19"/>
                <w:szCs w:val="19"/>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United Kingdom</w:t>
            </w:r>
          </w:p>
        </w:tc>
        <w:tc>
          <w:tcPr>
            <w:tcW w:w="3300" w:type="dxa"/>
            <w:vAlign w:val="bottom"/>
            <w:shd w:val="clear" w:color="auto" w:fill="CCEEFF"/>
          </w:tcPr>
          <w:p>
            <w:pPr>
              <w:spacing w:after="0"/>
              <w:rPr>
                <w:sz w:val="19"/>
                <w:szCs w:val="19"/>
                <w:color w:val="auto"/>
              </w:rPr>
            </w:pPr>
          </w:p>
        </w:tc>
      </w:tr>
      <w:tr>
        <w:trPr>
          <w:trHeight w:val="212"/>
        </w:trPr>
        <w:tc>
          <w:tcPr>
            <w:tcW w:w="40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00"/>
        </w:trPr>
        <w:tc>
          <w:tcPr>
            <w:tcW w:w="40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Clinical Research, S.A.</w:t>
            </w:r>
          </w:p>
        </w:tc>
        <w:tc>
          <w:tcPr>
            <w:tcW w:w="4100" w:type="dxa"/>
            <w:vAlign w:val="bottom"/>
            <w:shd w:val="clear" w:color="auto" w:fill="CCEEFF"/>
          </w:tcPr>
          <w:p>
            <w:pPr>
              <w:ind w:left="560"/>
              <w:spacing w:after="0" w:line="200" w:lineRule="exact"/>
              <w:rPr>
                <w:sz w:val="20"/>
                <w:szCs w:val="20"/>
                <w:color w:val="auto"/>
              </w:rPr>
            </w:pPr>
            <w:r>
              <w:rPr>
                <w:rFonts w:ascii="Arial" w:cs="Arial" w:eastAsia="Arial" w:hAnsi="Arial"/>
                <w:sz w:val="18"/>
                <w:szCs w:val="18"/>
                <w:color w:val="auto"/>
              </w:rPr>
              <w:t>Av. Fondo de la Legua 936/54</w:t>
            </w:r>
          </w:p>
        </w:tc>
        <w:tc>
          <w:tcPr>
            <w:tcW w:w="3300" w:type="dxa"/>
            <w:vAlign w:val="bottom"/>
            <w:shd w:val="clear" w:color="auto" w:fill="CCEEFF"/>
          </w:tcPr>
          <w:p>
            <w:pPr>
              <w:ind w:left="10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Edifico Loma de San Isidro Plaza 1</w:t>
            </w:r>
          </w:p>
        </w:tc>
        <w:tc>
          <w:tcPr>
            <w:tcW w:w="3300" w:type="dxa"/>
            <w:vAlign w:val="bottom"/>
            <w:shd w:val="clear" w:color="auto" w:fill="CCEEFF"/>
          </w:tcPr>
          <w:p>
            <w:pPr>
              <w:spacing w:after="0"/>
              <w:rPr>
                <w:sz w:val="18"/>
                <w:szCs w:val="18"/>
                <w:color w:val="auto"/>
              </w:rPr>
            </w:pP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Martinez</w:t>
            </w:r>
          </w:p>
        </w:tc>
        <w:tc>
          <w:tcPr>
            <w:tcW w:w="3300" w:type="dxa"/>
            <w:vAlign w:val="bottom"/>
            <w:shd w:val="clear" w:color="auto" w:fill="CCEEFF"/>
          </w:tcPr>
          <w:p>
            <w:pPr>
              <w:spacing w:after="0"/>
              <w:rPr>
                <w:sz w:val="18"/>
                <w:szCs w:val="18"/>
                <w:color w:val="auto"/>
              </w:rPr>
            </w:pP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Buenos Aires (B1640ED0)</w:t>
            </w:r>
          </w:p>
        </w:tc>
        <w:tc>
          <w:tcPr>
            <w:tcW w:w="3300" w:type="dxa"/>
            <w:vAlign w:val="bottom"/>
            <w:shd w:val="clear" w:color="auto" w:fill="CCEEFF"/>
          </w:tcPr>
          <w:p>
            <w:pPr>
              <w:spacing w:after="0"/>
              <w:rPr>
                <w:sz w:val="18"/>
                <w:szCs w:val="18"/>
                <w:color w:val="auto"/>
              </w:rPr>
            </w:pPr>
          </w:p>
        </w:tc>
      </w:tr>
      <w:tr>
        <w:trPr>
          <w:trHeight w:val="225"/>
        </w:trPr>
        <w:tc>
          <w:tcPr>
            <w:tcW w:w="4020" w:type="dxa"/>
            <w:vAlign w:val="bottom"/>
            <w:shd w:val="clear" w:color="auto" w:fill="CCEEFF"/>
          </w:tcPr>
          <w:p>
            <w:pPr>
              <w:spacing w:after="0"/>
              <w:rPr>
                <w:sz w:val="19"/>
                <w:szCs w:val="19"/>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Argentina</w:t>
            </w:r>
          </w:p>
        </w:tc>
        <w:tc>
          <w:tcPr>
            <w:tcW w:w="3300" w:type="dxa"/>
            <w:vAlign w:val="bottom"/>
            <w:shd w:val="clear" w:color="auto" w:fill="CCEEFF"/>
          </w:tcPr>
          <w:p>
            <w:pPr>
              <w:spacing w:after="0"/>
              <w:rPr>
                <w:sz w:val="19"/>
                <w:szCs w:val="19"/>
                <w:color w:val="auto"/>
              </w:rPr>
            </w:pPr>
          </w:p>
        </w:tc>
      </w:tr>
      <w:tr>
        <w:trPr>
          <w:trHeight w:val="212"/>
        </w:trPr>
        <w:tc>
          <w:tcPr>
            <w:tcW w:w="40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00"/>
        </w:trPr>
        <w:tc>
          <w:tcPr>
            <w:tcW w:w="40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Pesquisas Clinicas LTDA</w:t>
            </w:r>
          </w:p>
        </w:tc>
        <w:tc>
          <w:tcPr>
            <w:tcW w:w="4100" w:type="dxa"/>
            <w:vAlign w:val="bottom"/>
            <w:shd w:val="clear" w:color="auto" w:fill="CCEEFF"/>
          </w:tcPr>
          <w:p>
            <w:pPr>
              <w:ind w:left="560"/>
              <w:spacing w:after="0" w:line="200" w:lineRule="exact"/>
              <w:rPr>
                <w:sz w:val="20"/>
                <w:szCs w:val="20"/>
                <w:color w:val="auto"/>
              </w:rPr>
            </w:pPr>
            <w:r>
              <w:rPr>
                <w:rFonts w:ascii="Arial" w:cs="Arial" w:eastAsia="Arial" w:hAnsi="Arial"/>
                <w:sz w:val="18"/>
                <w:szCs w:val="18"/>
                <w:color w:val="auto"/>
              </w:rPr>
              <w:t>Avenida Paulista</w:t>
            </w:r>
          </w:p>
        </w:tc>
        <w:tc>
          <w:tcPr>
            <w:tcW w:w="3300" w:type="dxa"/>
            <w:vAlign w:val="bottom"/>
            <w:shd w:val="clear" w:color="auto" w:fill="CCEEFF"/>
          </w:tcPr>
          <w:p>
            <w:pPr>
              <w:ind w:left="10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 2300</w:t>
            </w:r>
          </w:p>
        </w:tc>
        <w:tc>
          <w:tcPr>
            <w:tcW w:w="3300" w:type="dxa"/>
            <w:vAlign w:val="bottom"/>
            <w:shd w:val="clear" w:color="auto" w:fill="CCEEFF"/>
          </w:tcPr>
          <w:p>
            <w:pPr>
              <w:spacing w:after="0"/>
              <w:rPr>
                <w:sz w:val="18"/>
                <w:szCs w:val="18"/>
                <w:color w:val="auto"/>
              </w:rPr>
            </w:pP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Andar Pilotis-sal 03100-300</w:t>
            </w:r>
          </w:p>
        </w:tc>
        <w:tc>
          <w:tcPr>
            <w:tcW w:w="3300" w:type="dxa"/>
            <w:vAlign w:val="bottom"/>
            <w:shd w:val="clear" w:color="auto" w:fill="CCEEFF"/>
          </w:tcPr>
          <w:p>
            <w:pPr>
              <w:spacing w:after="0"/>
              <w:rPr>
                <w:sz w:val="18"/>
                <w:szCs w:val="18"/>
                <w:color w:val="auto"/>
              </w:rPr>
            </w:pP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Bela Vista</w:t>
            </w:r>
          </w:p>
        </w:tc>
        <w:tc>
          <w:tcPr>
            <w:tcW w:w="3300" w:type="dxa"/>
            <w:vAlign w:val="bottom"/>
            <w:shd w:val="clear" w:color="auto" w:fill="CCEEFF"/>
          </w:tcPr>
          <w:p>
            <w:pPr>
              <w:spacing w:after="0"/>
              <w:rPr>
                <w:sz w:val="18"/>
                <w:szCs w:val="18"/>
                <w:color w:val="auto"/>
              </w:rPr>
            </w:pP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Sao Paulo</w:t>
            </w:r>
          </w:p>
        </w:tc>
        <w:tc>
          <w:tcPr>
            <w:tcW w:w="3300" w:type="dxa"/>
            <w:vAlign w:val="bottom"/>
            <w:shd w:val="clear" w:color="auto" w:fill="CCEEFF"/>
          </w:tcPr>
          <w:p>
            <w:pPr>
              <w:spacing w:after="0"/>
              <w:rPr>
                <w:sz w:val="18"/>
                <w:szCs w:val="18"/>
                <w:color w:val="auto"/>
              </w:rPr>
            </w:pPr>
          </w:p>
        </w:tc>
      </w:tr>
      <w:tr>
        <w:trPr>
          <w:trHeight w:val="225"/>
        </w:trPr>
        <w:tc>
          <w:tcPr>
            <w:tcW w:w="4020" w:type="dxa"/>
            <w:vAlign w:val="bottom"/>
            <w:shd w:val="clear" w:color="auto" w:fill="CCEEFF"/>
          </w:tcPr>
          <w:p>
            <w:pPr>
              <w:spacing w:after="0"/>
              <w:rPr>
                <w:sz w:val="19"/>
                <w:szCs w:val="19"/>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SP Brazil</w:t>
            </w:r>
          </w:p>
        </w:tc>
        <w:tc>
          <w:tcPr>
            <w:tcW w:w="3300" w:type="dxa"/>
            <w:vAlign w:val="bottom"/>
            <w:shd w:val="clear" w:color="auto" w:fill="CCEEFF"/>
          </w:tcPr>
          <w:p>
            <w:pPr>
              <w:spacing w:after="0"/>
              <w:rPr>
                <w:sz w:val="19"/>
                <w:szCs w:val="19"/>
                <w:color w:val="auto"/>
              </w:rPr>
            </w:pPr>
          </w:p>
        </w:tc>
      </w:tr>
      <w:tr>
        <w:trPr>
          <w:trHeight w:val="212"/>
        </w:trPr>
        <w:tc>
          <w:tcPr>
            <w:tcW w:w="40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00"/>
        </w:trPr>
        <w:tc>
          <w:tcPr>
            <w:tcW w:w="40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Clinical Research (Canada) Inc.</w:t>
            </w:r>
          </w:p>
        </w:tc>
        <w:tc>
          <w:tcPr>
            <w:tcW w:w="4100" w:type="dxa"/>
            <w:vAlign w:val="bottom"/>
            <w:shd w:val="clear" w:color="auto" w:fill="CCEEFF"/>
          </w:tcPr>
          <w:p>
            <w:pPr>
              <w:ind w:left="560"/>
              <w:spacing w:after="0" w:line="200" w:lineRule="exact"/>
              <w:rPr>
                <w:sz w:val="20"/>
                <w:szCs w:val="20"/>
                <w:color w:val="auto"/>
              </w:rPr>
            </w:pPr>
            <w:r>
              <w:rPr>
                <w:rFonts w:ascii="Arial" w:cs="Arial" w:eastAsia="Arial" w:hAnsi="Arial"/>
                <w:sz w:val="18"/>
                <w:szCs w:val="18"/>
                <w:color w:val="auto"/>
              </w:rPr>
              <w:t>7405 Trans-Canada Highway,</w:t>
            </w:r>
          </w:p>
        </w:tc>
        <w:tc>
          <w:tcPr>
            <w:tcW w:w="3300" w:type="dxa"/>
            <w:vAlign w:val="bottom"/>
            <w:shd w:val="clear" w:color="auto" w:fill="CCEEFF"/>
          </w:tcPr>
          <w:p>
            <w:pPr>
              <w:ind w:left="10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Suite 300 Saint-Laurent,</w:t>
            </w:r>
          </w:p>
        </w:tc>
        <w:tc>
          <w:tcPr>
            <w:tcW w:w="3300" w:type="dxa"/>
            <w:vAlign w:val="bottom"/>
            <w:shd w:val="clear" w:color="auto" w:fill="CCEEFF"/>
          </w:tcPr>
          <w:p>
            <w:pPr>
              <w:spacing w:after="0"/>
              <w:rPr>
                <w:sz w:val="18"/>
                <w:szCs w:val="18"/>
                <w:color w:val="auto"/>
              </w:rPr>
            </w:pP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Quebec H4T 1Z2</w:t>
            </w:r>
          </w:p>
        </w:tc>
        <w:tc>
          <w:tcPr>
            <w:tcW w:w="3300" w:type="dxa"/>
            <w:vAlign w:val="bottom"/>
            <w:shd w:val="clear" w:color="auto" w:fill="CCEEFF"/>
          </w:tcPr>
          <w:p>
            <w:pPr>
              <w:spacing w:after="0"/>
              <w:rPr>
                <w:sz w:val="18"/>
                <w:szCs w:val="18"/>
                <w:color w:val="auto"/>
              </w:rPr>
            </w:pPr>
          </w:p>
        </w:tc>
      </w:tr>
      <w:tr>
        <w:trPr>
          <w:trHeight w:val="225"/>
        </w:trPr>
        <w:tc>
          <w:tcPr>
            <w:tcW w:w="4020" w:type="dxa"/>
            <w:vAlign w:val="bottom"/>
            <w:shd w:val="clear" w:color="auto" w:fill="CCEEFF"/>
          </w:tcPr>
          <w:p>
            <w:pPr>
              <w:spacing w:after="0"/>
              <w:rPr>
                <w:sz w:val="19"/>
                <w:szCs w:val="19"/>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Canada</w:t>
            </w:r>
          </w:p>
        </w:tc>
        <w:tc>
          <w:tcPr>
            <w:tcW w:w="3300" w:type="dxa"/>
            <w:vAlign w:val="bottom"/>
            <w:shd w:val="clear" w:color="auto" w:fill="CCEEFF"/>
          </w:tcPr>
          <w:p>
            <w:pPr>
              <w:spacing w:after="0"/>
              <w:rPr>
                <w:sz w:val="19"/>
                <w:szCs w:val="19"/>
                <w:color w:val="auto"/>
              </w:rPr>
            </w:pPr>
          </w:p>
        </w:tc>
      </w:tr>
      <w:tr>
        <w:trPr>
          <w:trHeight w:val="212"/>
        </w:trPr>
        <w:tc>
          <w:tcPr>
            <w:tcW w:w="40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00"/>
        </w:trPr>
        <w:tc>
          <w:tcPr>
            <w:tcW w:w="40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Oxford Outcomes Limited</w:t>
            </w:r>
          </w:p>
        </w:tc>
        <w:tc>
          <w:tcPr>
            <w:tcW w:w="4100" w:type="dxa"/>
            <w:vAlign w:val="bottom"/>
            <w:shd w:val="clear" w:color="auto" w:fill="CCEEFF"/>
          </w:tcPr>
          <w:p>
            <w:pPr>
              <w:ind w:left="560"/>
              <w:spacing w:after="0" w:line="200" w:lineRule="exact"/>
              <w:rPr>
                <w:sz w:val="20"/>
                <w:szCs w:val="20"/>
                <w:color w:val="auto"/>
              </w:rPr>
            </w:pPr>
            <w:r>
              <w:rPr>
                <w:rFonts w:ascii="Arial" w:cs="Arial" w:eastAsia="Arial" w:hAnsi="Arial"/>
                <w:sz w:val="18"/>
                <w:szCs w:val="18"/>
                <w:color w:val="auto"/>
              </w:rPr>
              <w:t>19th Floor</w:t>
            </w:r>
          </w:p>
        </w:tc>
        <w:tc>
          <w:tcPr>
            <w:tcW w:w="3300" w:type="dxa"/>
            <w:vAlign w:val="bottom"/>
            <w:shd w:val="clear" w:color="auto" w:fill="CCEEFF"/>
          </w:tcPr>
          <w:p>
            <w:pPr>
              <w:ind w:left="10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885 West Georgia Street</w:t>
            </w:r>
          </w:p>
        </w:tc>
        <w:tc>
          <w:tcPr>
            <w:tcW w:w="3300" w:type="dxa"/>
            <w:vAlign w:val="bottom"/>
            <w:shd w:val="clear" w:color="auto" w:fill="CCEEFF"/>
          </w:tcPr>
          <w:p>
            <w:pPr>
              <w:spacing w:after="0"/>
              <w:rPr>
                <w:sz w:val="18"/>
                <w:szCs w:val="18"/>
                <w:color w:val="auto"/>
              </w:rPr>
            </w:pP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Vancouver BC V6C 3H4</w:t>
            </w:r>
          </w:p>
        </w:tc>
        <w:tc>
          <w:tcPr>
            <w:tcW w:w="3300" w:type="dxa"/>
            <w:vAlign w:val="bottom"/>
            <w:shd w:val="clear" w:color="auto" w:fill="CCEEFF"/>
          </w:tcPr>
          <w:p>
            <w:pPr>
              <w:spacing w:after="0"/>
              <w:rPr>
                <w:sz w:val="18"/>
                <w:szCs w:val="18"/>
                <w:color w:val="auto"/>
              </w:rPr>
            </w:pPr>
          </w:p>
        </w:tc>
      </w:tr>
      <w:tr>
        <w:trPr>
          <w:trHeight w:val="225"/>
        </w:trPr>
        <w:tc>
          <w:tcPr>
            <w:tcW w:w="4020" w:type="dxa"/>
            <w:vAlign w:val="bottom"/>
            <w:shd w:val="clear" w:color="auto" w:fill="CCEEFF"/>
          </w:tcPr>
          <w:p>
            <w:pPr>
              <w:spacing w:after="0"/>
              <w:rPr>
                <w:sz w:val="19"/>
                <w:szCs w:val="19"/>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Canada</w:t>
            </w:r>
          </w:p>
        </w:tc>
        <w:tc>
          <w:tcPr>
            <w:tcW w:w="3300" w:type="dxa"/>
            <w:vAlign w:val="bottom"/>
            <w:shd w:val="clear" w:color="auto" w:fill="CCEEFF"/>
          </w:tcPr>
          <w:p>
            <w:pPr>
              <w:spacing w:after="0"/>
              <w:rPr>
                <w:sz w:val="19"/>
                <w:szCs w:val="19"/>
                <w:color w:val="auto"/>
              </w:rPr>
            </w:pPr>
          </w:p>
        </w:tc>
      </w:tr>
      <w:tr>
        <w:trPr>
          <w:trHeight w:val="212"/>
        </w:trPr>
        <w:tc>
          <w:tcPr>
            <w:tcW w:w="40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00"/>
        </w:trPr>
        <w:tc>
          <w:tcPr>
            <w:tcW w:w="40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Chile Limitada</w:t>
            </w:r>
          </w:p>
        </w:tc>
        <w:tc>
          <w:tcPr>
            <w:tcW w:w="4100" w:type="dxa"/>
            <w:vAlign w:val="bottom"/>
            <w:shd w:val="clear" w:color="auto" w:fill="CCEEFF"/>
          </w:tcPr>
          <w:p>
            <w:pPr>
              <w:ind w:left="560"/>
              <w:spacing w:after="0" w:line="200" w:lineRule="exact"/>
              <w:rPr>
                <w:sz w:val="20"/>
                <w:szCs w:val="20"/>
                <w:color w:val="auto"/>
              </w:rPr>
            </w:pPr>
            <w:r>
              <w:rPr>
                <w:rFonts w:ascii="Arial" w:cs="Arial" w:eastAsia="Arial" w:hAnsi="Arial"/>
                <w:sz w:val="18"/>
                <w:szCs w:val="18"/>
                <w:color w:val="auto"/>
              </w:rPr>
              <w:t>Huerfanos 770</w:t>
            </w:r>
          </w:p>
        </w:tc>
        <w:tc>
          <w:tcPr>
            <w:tcW w:w="3300" w:type="dxa"/>
            <w:vAlign w:val="bottom"/>
            <w:shd w:val="clear" w:color="auto" w:fill="CCEEFF"/>
          </w:tcPr>
          <w:p>
            <w:pPr>
              <w:ind w:left="10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Piso 4</w:t>
            </w:r>
          </w:p>
        </w:tc>
        <w:tc>
          <w:tcPr>
            <w:tcW w:w="3300" w:type="dxa"/>
            <w:vAlign w:val="bottom"/>
            <w:shd w:val="clear" w:color="auto" w:fill="CCEEFF"/>
          </w:tcPr>
          <w:p>
            <w:pPr>
              <w:spacing w:after="0"/>
              <w:rPr>
                <w:sz w:val="18"/>
                <w:szCs w:val="18"/>
                <w:color w:val="auto"/>
              </w:rPr>
            </w:pP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Oficina 402</w:t>
            </w:r>
          </w:p>
        </w:tc>
        <w:tc>
          <w:tcPr>
            <w:tcW w:w="3300" w:type="dxa"/>
            <w:vAlign w:val="bottom"/>
            <w:shd w:val="clear" w:color="auto" w:fill="CCEEFF"/>
          </w:tcPr>
          <w:p>
            <w:pPr>
              <w:spacing w:after="0"/>
              <w:rPr>
                <w:sz w:val="18"/>
                <w:szCs w:val="18"/>
                <w:color w:val="auto"/>
              </w:rPr>
            </w:pP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Santiago</w:t>
            </w:r>
          </w:p>
        </w:tc>
        <w:tc>
          <w:tcPr>
            <w:tcW w:w="3300" w:type="dxa"/>
            <w:vAlign w:val="bottom"/>
            <w:shd w:val="clear" w:color="auto" w:fill="CCEEFF"/>
          </w:tcPr>
          <w:p>
            <w:pPr>
              <w:spacing w:after="0"/>
              <w:rPr>
                <w:sz w:val="18"/>
                <w:szCs w:val="18"/>
                <w:color w:val="auto"/>
              </w:rPr>
            </w:pPr>
          </w:p>
        </w:tc>
      </w:tr>
      <w:tr>
        <w:trPr>
          <w:trHeight w:val="225"/>
        </w:trPr>
        <w:tc>
          <w:tcPr>
            <w:tcW w:w="4020" w:type="dxa"/>
            <w:vAlign w:val="bottom"/>
            <w:shd w:val="clear" w:color="auto" w:fill="CCEEFF"/>
          </w:tcPr>
          <w:p>
            <w:pPr>
              <w:spacing w:after="0"/>
              <w:rPr>
                <w:sz w:val="19"/>
                <w:szCs w:val="19"/>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Chile</w:t>
            </w:r>
          </w:p>
        </w:tc>
        <w:tc>
          <w:tcPr>
            <w:tcW w:w="3300" w:type="dxa"/>
            <w:vAlign w:val="bottom"/>
            <w:shd w:val="clear" w:color="auto" w:fill="CCEEFF"/>
          </w:tcPr>
          <w:p>
            <w:pPr>
              <w:spacing w:after="0"/>
              <w:rPr>
                <w:sz w:val="19"/>
                <w:szCs w:val="19"/>
                <w:color w:val="auto"/>
              </w:rPr>
            </w:pPr>
          </w:p>
        </w:tc>
      </w:tr>
      <w:tr>
        <w:trPr>
          <w:trHeight w:val="212"/>
        </w:trPr>
        <w:tc>
          <w:tcPr>
            <w:tcW w:w="40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00"/>
        </w:trPr>
        <w:tc>
          <w:tcPr>
            <w:tcW w:w="40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Clinical Research México, S.A. de C.V.</w:t>
            </w:r>
          </w:p>
        </w:tc>
        <w:tc>
          <w:tcPr>
            <w:tcW w:w="4100" w:type="dxa"/>
            <w:vAlign w:val="bottom"/>
            <w:shd w:val="clear" w:color="auto" w:fill="CCEEFF"/>
          </w:tcPr>
          <w:p>
            <w:pPr>
              <w:ind w:left="560"/>
              <w:spacing w:after="0" w:line="200" w:lineRule="exact"/>
              <w:rPr>
                <w:sz w:val="20"/>
                <w:szCs w:val="20"/>
                <w:color w:val="auto"/>
              </w:rPr>
            </w:pPr>
            <w:r>
              <w:rPr>
                <w:rFonts w:ascii="Arial" w:cs="Arial" w:eastAsia="Arial" w:hAnsi="Arial"/>
                <w:sz w:val="18"/>
                <w:szCs w:val="18"/>
                <w:color w:val="auto"/>
              </w:rPr>
              <w:t>Barranca del Muerto 329 3rd Floor</w:t>
            </w:r>
          </w:p>
        </w:tc>
        <w:tc>
          <w:tcPr>
            <w:tcW w:w="3300" w:type="dxa"/>
            <w:vAlign w:val="bottom"/>
            <w:shd w:val="clear" w:color="auto" w:fill="CCEEFF"/>
          </w:tcPr>
          <w:p>
            <w:pPr>
              <w:ind w:left="10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Col. San Jose Insugentes</w:t>
            </w:r>
          </w:p>
        </w:tc>
        <w:tc>
          <w:tcPr>
            <w:tcW w:w="3300" w:type="dxa"/>
            <w:vAlign w:val="bottom"/>
            <w:shd w:val="clear" w:color="auto" w:fill="CCEEFF"/>
          </w:tcPr>
          <w:p>
            <w:pPr>
              <w:spacing w:after="0"/>
              <w:rPr>
                <w:sz w:val="18"/>
                <w:szCs w:val="18"/>
                <w:color w:val="auto"/>
              </w:rPr>
            </w:pPr>
          </w:p>
        </w:tc>
      </w:tr>
      <w:tr>
        <w:trPr>
          <w:trHeight w:val="225"/>
        </w:trPr>
        <w:tc>
          <w:tcPr>
            <w:tcW w:w="4020" w:type="dxa"/>
            <w:vAlign w:val="bottom"/>
            <w:shd w:val="clear" w:color="auto" w:fill="CCEEFF"/>
          </w:tcPr>
          <w:p>
            <w:pPr>
              <w:spacing w:after="0"/>
              <w:rPr>
                <w:sz w:val="19"/>
                <w:szCs w:val="19"/>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03900 Mexico D.F.</w:t>
            </w:r>
          </w:p>
        </w:tc>
        <w:tc>
          <w:tcPr>
            <w:tcW w:w="3300" w:type="dxa"/>
            <w:vAlign w:val="bottom"/>
            <w:shd w:val="clear" w:color="auto" w:fill="CCEEFF"/>
          </w:tcPr>
          <w:p>
            <w:pPr>
              <w:spacing w:after="0"/>
              <w:rPr>
                <w:sz w:val="19"/>
                <w:szCs w:val="19"/>
                <w:color w:val="auto"/>
              </w:rPr>
            </w:pPr>
          </w:p>
        </w:tc>
      </w:tr>
      <w:tr>
        <w:trPr>
          <w:trHeight w:val="212"/>
        </w:trPr>
        <w:tc>
          <w:tcPr>
            <w:tcW w:w="40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00"/>
        </w:trPr>
        <w:tc>
          <w:tcPr>
            <w:tcW w:w="40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Clinical Research Peru S.A.</w:t>
            </w:r>
          </w:p>
        </w:tc>
        <w:tc>
          <w:tcPr>
            <w:tcW w:w="4100" w:type="dxa"/>
            <w:vAlign w:val="bottom"/>
            <w:shd w:val="clear" w:color="auto" w:fill="CCEEFF"/>
          </w:tcPr>
          <w:p>
            <w:pPr>
              <w:ind w:left="560"/>
              <w:spacing w:after="0" w:line="200" w:lineRule="exact"/>
              <w:rPr>
                <w:sz w:val="20"/>
                <w:szCs w:val="20"/>
                <w:color w:val="auto"/>
              </w:rPr>
            </w:pPr>
            <w:r>
              <w:rPr>
                <w:rFonts w:ascii="Arial" w:cs="Arial" w:eastAsia="Arial" w:hAnsi="Arial"/>
                <w:sz w:val="18"/>
                <w:szCs w:val="18"/>
                <w:color w:val="auto"/>
              </w:rPr>
              <w:t>Edificio Real Seis</w:t>
            </w:r>
          </w:p>
        </w:tc>
        <w:tc>
          <w:tcPr>
            <w:tcW w:w="3300" w:type="dxa"/>
            <w:vAlign w:val="bottom"/>
            <w:shd w:val="clear" w:color="auto" w:fill="CCEEFF"/>
          </w:tcPr>
          <w:p>
            <w:pPr>
              <w:ind w:left="10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 Victor A. Belaunde 147</w:t>
            </w:r>
          </w:p>
        </w:tc>
        <w:tc>
          <w:tcPr>
            <w:tcW w:w="3300" w:type="dxa"/>
            <w:vAlign w:val="bottom"/>
            <w:shd w:val="clear" w:color="auto" w:fill="CCEEFF"/>
          </w:tcPr>
          <w:p>
            <w:pPr>
              <w:spacing w:after="0"/>
              <w:rPr>
                <w:sz w:val="18"/>
                <w:szCs w:val="18"/>
                <w:color w:val="auto"/>
              </w:rPr>
            </w:pP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Via Principal 140- Piso</w:t>
            </w:r>
          </w:p>
        </w:tc>
        <w:tc>
          <w:tcPr>
            <w:tcW w:w="3300" w:type="dxa"/>
            <w:vAlign w:val="bottom"/>
            <w:shd w:val="clear" w:color="auto" w:fill="CCEEFF"/>
          </w:tcPr>
          <w:p>
            <w:pPr>
              <w:spacing w:after="0"/>
              <w:rPr>
                <w:sz w:val="18"/>
                <w:szCs w:val="18"/>
                <w:color w:val="auto"/>
              </w:rPr>
            </w:pP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Ofs 713 y 715</w:t>
            </w:r>
          </w:p>
        </w:tc>
        <w:tc>
          <w:tcPr>
            <w:tcW w:w="3300" w:type="dxa"/>
            <w:vAlign w:val="bottom"/>
            <w:shd w:val="clear" w:color="auto" w:fill="CCEEFF"/>
          </w:tcPr>
          <w:p>
            <w:pPr>
              <w:spacing w:after="0"/>
              <w:rPr>
                <w:sz w:val="18"/>
                <w:szCs w:val="18"/>
                <w:color w:val="auto"/>
              </w:rPr>
            </w:pPr>
          </w:p>
        </w:tc>
      </w:tr>
      <w:tr>
        <w:trPr>
          <w:trHeight w:val="212"/>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San Isidro-Lima 27</w:t>
            </w:r>
          </w:p>
        </w:tc>
        <w:tc>
          <w:tcPr>
            <w:tcW w:w="3300" w:type="dxa"/>
            <w:vAlign w:val="bottom"/>
            <w:shd w:val="clear" w:color="auto" w:fill="CCEEFF"/>
          </w:tcPr>
          <w:p>
            <w:pPr>
              <w:spacing w:after="0"/>
              <w:rPr>
                <w:sz w:val="18"/>
                <w:szCs w:val="18"/>
                <w:color w:val="auto"/>
              </w:rPr>
            </w:pPr>
          </w:p>
        </w:tc>
      </w:tr>
      <w:tr>
        <w:trPr>
          <w:trHeight w:val="225"/>
        </w:trPr>
        <w:tc>
          <w:tcPr>
            <w:tcW w:w="4020" w:type="dxa"/>
            <w:vAlign w:val="bottom"/>
            <w:shd w:val="clear" w:color="auto" w:fill="CCEEFF"/>
          </w:tcPr>
          <w:p>
            <w:pPr>
              <w:spacing w:after="0"/>
              <w:rPr>
                <w:sz w:val="19"/>
                <w:szCs w:val="19"/>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Peru</w:t>
            </w:r>
          </w:p>
        </w:tc>
        <w:tc>
          <w:tcPr>
            <w:tcW w:w="3300" w:type="dxa"/>
            <w:vAlign w:val="bottom"/>
            <w:shd w:val="clear" w:color="auto" w:fill="CCEEFF"/>
          </w:tcPr>
          <w:p>
            <w:pPr>
              <w:spacing w:after="0"/>
              <w:rPr>
                <w:sz w:val="19"/>
                <w:szCs w:val="19"/>
                <w:color w:val="auto"/>
              </w:rPr>
            </w:pPr>
          </w:p>
        </w:tc>
      </w:tr>
      <w:tr>
        <w:trPr>
          <w:trHeight w:val="412"/>
        </w:trPr>
        <w:tc>
          <w:tcPr>
            <w:tcW w:w="4020" w:type="dxa"/>
            <w:vAlign w:val="bottom"/>
          </w:tcPr>
          <w:p>
            <w:pPr>
              <w:ind w:left="160"/>
              <w:spacing w:after="0"/>
              <w:rPr>
                <w:sz w:val="20"/>
                <w:szCs w:val="20"/>
                <w:color w:val="auto"/>
              </w:rPr>
            </w:pPr>
            <w:r>
              <w:rPr>
                <w:rFonts w:ascii="Arial" w:cs="Arial" w:eastAsia="Arial" w:hAnsi="Arial"/>
                <w:sz w:val="18"/>
                <w:szCs w:val="18"/>
                <w:color w:val="auto"/>
              </w:rPr>
              <w:t>ICON Clinical Research PTY Limited</w:t>
            </w:r>
          </w:p>
        </w:tc>
        <w:tc>
          <w:tcPr>
            <w:tcW w:w="4100" w:type="dxa"/>
            <w:vAlign w:val="bottom"/>
          </w:tcPr>
          <w:p>
            <w:pPr>
              <w:ind w:left="560"/>
              <w:spacing w:after="0"/>
              <w:rPr>
                <w:sz w:val="20"/>
                <w:szCs w:val="20"/>
                <w:color w:val="auto"/>
              </w:rPr>
            </w:pPr>
            <w:r>
              <w:rPr>
                <w:rFonts w:ascii="Arial" w:cs="Arial" w:eastAsia="Arial" w:hAnsi="Arial"/>
                <w:sz w:val="18"/>
                <w:szCs w:val="18"/>
                <w:color w:val="auto"/>
              </w:rPr>
              <w:t>Suite 201,</w:t>
            </w:r>
          </w:p>
        </w:tc>
        <w:tc>
          <w:tcPr>
            <w:tcW w:w="3300" w:type="dxa"/>
            <w:vAlign w:val="bottom"/>
          </w:tcPr>
          <w:p>
            <w:pPr>
              <w:ind w:left="1020"/>
              <w:spacing w:after="0"/>
              <w:rPr>
                <w:sz w:val="20"/>
                <w:szCs w:val="20"/>
                <w:color w:val="auto"/>
              </w:rPr>
            </w:pPr>
            <w:r>
              <w:rPr>
                <w:rFonts w:ascii="Arial" w:cs="Arial" w:eastAsia="Arial" w:hAnsi="Arial"/>
                <w:sz w:val="18"/>
                <w:szCs w:val="18"/>
                <w:color w:val="auto"/>
              </w:rPr>
              <w:t>100%*</w:t>
            </w:r>
          </w:p>
        </w:tc>
      </w:tr>
      <w:tr>
        <w:trPr>
          <w:trHeight w:val="223"/>
        </w:trPr>
        <w:tc>
          <w:tcPr>
            <w:tcW w:w="4020" w:type="dxa"/>
            <w:vAlign w:val="bottom"/>
          </w:tcPr>
          <w:p>
            <w:pPr>
              <w:spacing w:after="0"/>
              <w:rPr>
                <w:sz w:val="19"/>
                <w:szCs w:val="19"/>
                <w:color w:val="auto"/>
              </w:rPr>
            </w:pPr>
          </w:p>
        </w:tc>
        <w:tc>
          <w:tcPr>
            <w:tcW w:w="4100" w:type="dxa"/>
            <w:vAlign w:val="bottom"/>
          </w:tcPr>
          <w:p>
            <w:pPr>
              <w:ind w:left="560"/>
              <w:spacing w:after="0"/>
              <w:rPr>
                <w:sz w:val="20"/>
                <w:szCs w:val="20"/>
                <w:color w:val="auto"/>
              </w:rPr>
            </w:pPr>
            <w:r>
              <w:rPr>
                <w:rFonts w:ascii="Arial" w:cs="Arial" w:eastAsia="Arial" w:hAnsi="Arial"/>
                <w:sz w:val="18"/>
                <w:szCs w:val="18"/>
                <w:color w:val="auto"/>
              </w:rPr>
              <w:t>Level 2, 2-4 Lyon Park Road,</w:t>
            </w:r>
          </w:p>
        </w:tc>
        <w:tc>
          <w:tcPr>
            <w:tcW w:w="33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-267970</wp:posOffset>
            </wp:positionV>
            <wp:extent cx="7249160" cy="673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9160" cy="673735"/>
                    </a:xfrm>
                    <a:prstGeom prst="rect">
                      <a:avLst/>
                    </a:prstGeom>
                    <a:noFill/>
                  </pic:spPr>
                </pic:pic>
              </a:graphicData>
            </a:graphic>
          </wp:anchor>
        </w:drawing>
      </w:r>
    </w:p>
    <w:p>
      <w:pPr>
        <w:ind w:left="4580"/>
        <w:spacing w:after="0"/>
        <w:rPr>
          <w:sz w:val="20"/>
          <w:szCs w:val="20"/>
          <w:color w:val="auto"/>
        </w:rPr>
      </w:pPr>
      <w:r>
        <w:rPr>
          <w:rFonts w:ascii="Arial" w:cs="Arial" w:eastAsia="Arial" w:hAnsi="Arial"/>
          <w:sz w:val="18"/>
          <w:szCs w:val="18"/>
          <w:color w:val="auto"/>
        </w:rPr>
        <w:t>North Ryde,</w:t>
      </w:r>
    </w:p>
    <w:p>
      <w:pPr>
        <w:spacing w:after="0" w:line="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NSW 2113</w:t>
      </w:r>
    </w:p>
    <w:p>
      <w:pPr>
        <w:spacing w:after="0" w:line="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Australia</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00" w:type="dxa"/>
            <w:vAlign w:val="bottom"/>
          </w:tcPr>
          <w:p>
            <w:pPr>
              <w:spacing w:after="0"/>
              <w:rPr>
                <w:sz w:val="20"/>
                <w:szCs w:val="20"/>
                <w:color w:val="auto"/>
              </w:rPr>
            </w:pPr>
            <w:r>
              <w:rPr>
                <w:rFonts w:ascii="Arial" w:cs="Arial" w:eastAsia="Arial" w:hAnsi="Arial"/>
                <w:sz w:val="18"/>
                <w:szCs w:val="18"/>
                <w:b w:val="1"/>
                <w:bCs w:val="1"/>
                <w:color w:val="auto"/>
              </w:rPr>
              <w:t xml:space="preserve">31. Subsidiary Undertakings </w:t>
            </w:r>
            <w:r>
              <w:rPr>
                <w:rFonts w:ascii="Arial" w:cs="Arial" w:eastAsia="Arial" w:hAnsi="Arial"/>
                <w:sz w:val="18"/>
                <w:szCs w:val="18"/>
                <w:b w:val="1"/>
                <w:bCs w:val="1"/>
                <w:i w:val="1"/>
                <w:iCs w:val="1"/>
                <w:color w:val="auto"/>
              </w:rPr>
              <w:t>(continued)</w:t>
            </w:r>
          </w:p>
        </w:tc>
        <w:tc>
          <w:tcPr>
            <w:tcW w:w="398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39"/>
        </w:trPr>
        <w:tc>
          <w:tcPr>
            <w:tcW w:w="41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340" w:type="dxa"/>
            <w:vAlign w:val="bottom"/>
          </w:tcPr>
          <w:p>
            <w:pPr>
              <w:ind w:left="1060"/>
              <w:spacing w:after="0"/>
              <w:rPr>
                <w:sz w:val="20"/>
                <w:szCs w:val="20"/>
                <w:color w:val="auto"/>
              </w:rPr>
            </w:pPr>
            <w:r>
              <w:rPr>
                <w:rFonts w:ascii="Arial" w:cs="Arial" w:eastAsia="Arial" w:hAnsi="Arial"/>
                <w:sz w:val="18"/>
                <w:szCs w:val="18"/>
                <w:b w:val="1"/>
                <w:bCs w:val="1"/>
                <w:i w:val="1"/>
                <w:iCs w:val="1"/>
                <w:color w:val="auto"/>
              </w:rPr>
              <w:t>Proportion held by</w:t>
            </w:r>
          </w:p>
        </w:tc>
      </w:tr>
      <w:tr>
        <w:trPr>
          <w:trHeight w:val="224"/>
        </w:trPr>
        <w:tc>
          <w:tcPr>
            <w:tcW w:w="41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Name</w:t>
            </w:r>
          </w:p>
        </w:tc>
        <w:tc>
          <w:tcPr>
            <w:tcW w:w="398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Registered Office</w:t>
            </w:r>
          </w:p>
        </w:tc>
        <w:tc>
          <w:tcPr>
            <w:tcW w:w="3340" w:type="dxa"/>
            <w:vAlign w:val="bottom"/>
          </w:tcPr>
          <w:p>
            <w:pPr>
              <w:ind w:left="1060"/>
              <w:spacing w:after="0"/>
              <w:rPr>
                <w:sz w:val="20"/>
                <w:szCs w:val="20"/>
                <w:color w:val="auto"/>
              </w:rPr>
            </w:pPr>
            <w:r>
              <w:rPr>
                <w:rFonts w:ascii="Arial" w:cs="Arial" w:eastAsia="Arial" w:hAnsi="Arial"/>
                <w:sz w:val="18"/>
                <w:szCs w:val="18"/>
                <w:b w:val="1"/>
                <w:bCs w:val="1"/>
                <w:i w:val="1"/>
                <w:iCs w:val="1"/>
                <w:color w:val="auto"/>
              </w:rPr>
              <w:t>group</w:t>
            </w:r>
          </w:p>
        </w:tc>
      </w:tr>
      <w:tr>
        <w:trPr>
          <w:trHeight w:val="200"/>
        </w:trPr>
        <w:tc>
          <w:tcPr>
            <w:tcW w:w="4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ICON Clinical Research (Beijing) Co., Limited</w:t>
            </w:r>
          </w:p>
        </w:tc>
        <w:tc>
          <w:tcPr>
            <w:tcW w:w="39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Floor 5, Tower B,</w:t>
            </w:r>
          </w:p>
        </w:tc>
        <w:tc>
          <w:tcPr>
            <w:tcW w:w="3340" w:type="dxa"/>
            <w:vAlign w:val="bottom"/>
            <w:shd w:val="clear" w:color="auto" w:fill="CCEEFF"/>
          </w:tcPr>
          <w:p>
            <w:pPr>
              <w:ind w:left="1060"/>
              <w:spacing w:after="0" w:line="201" w:lineRule="exact"/>
              <w:rPr>
                <w:sz w:val="20"/>
                <w:szCs w:val="20"/>
                <w:color w:val="auto"/>
              </w:rPr>
            </w:pPr>
            <w:r>
              <w:rPr>
                <w:rFonts w:ascii="Arial" w:cs="Arial" w:eastAsia="Arial" w:hAnsi="Arial"/>
                <w:sz w:val="18"/>
                <w:szCs w:val="18"/>
                <w:color w:val="auto"/>
              </w:rPr>
              <w:t>100%</w:t>
            </w:r>
          </w:p>
        </w:tc>
      </w:tr>
      <w:tr>
        <w:trPr>
          <w:trHeight w:val="212"/>
        </w:trPr>
        <w:tc>
          <w:tcPr>
            <w:tcW w:w="4100" w:type="dxa"/>
            <w:vAlign w:val="bottom"/>
            <w:shd w:val="clear" w:color="auto" w:fill="CCEEFF"/>
          </w:tcPr>
          <w:p>
            <w:pPr>
              <w:spacing w:after="0"/>
              <w:rPr>
                <w:sz w:val="18"/>
                <w:szCs w:val="18"/>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Minsheng Financial Center No.28,</w:t>
            </w:r>
          </w:p>
        </w:tc>
        <w:tc>
          <w:tcPr>
            <w:tcW w:w="3340" w:type="dxa"/>
            <w:vAlign w:val="bottom"/>
            <w:shd w:val="clear" w:color="auto" w:fill="CCEEFF"/>
          </w:tcPr>
          <w:p>
            <w:pPr>
              <w:spacing w:after="0"/>
              <w:rPr>
                <w:sz w:val="18"/>
                <w:szCs w:val="18"/>
                <w:color w:val="auto"/>
              </w:rPr>
            </w:pPr>
          </w:p>
        </w:tc>
      </w:tr>
      <w:tr>
        <w:trPr>
          <w:trHeight w:val="212"/>
        </w:trPr>
        <w:tc>
          <w:tcPr>
            <w:tcW w:w="4100" w:type="dxa"/>
            <w:vAlign w:val="bottom"/>
            <w:shd w:val="clear" w:color="auto" w:fill="CCEEFF"/>
          </w:tcPr>
          <w:p>
            <w:pPr>
              <w:spacing w:after="0"/>
              <w:rPr>
                <w:sz w:val="18"/>
                <w:szCs w:val="18"/>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JianGuoMen Nei Ave,</w:t>
            </w:r>
          </w:p>
        </w:tc>
        <w:tc>
          <w:tcPr>
            <w:tcW w:w="3340" w:type="dxa"/>
            <w:vAlign w:val="bottom"/>
            <w:shd w:val="clear" w:color="auto" w:fill="CCEEFF"/>
          </w:tcPr>
          <w:p>
            <w:pPr>
              <w:spacing w:after="0"/>
              <w:rPr>
                <w:sz w:val="18"/>
                <w:szCs w:val="18"/>
                <w:color w:val="auto"/>
              </w:rPr>
            </w:pPr>
          </w:p>
        </w:tc>
      </w:tr>
      <w:tr>
        <w:trPr>
          <w:trHeight w:val="212"/>
        </w:trPr>
        <w:tc>
          <w:tcPr>
            <w:tcW w:w="4100" w:type="dxa"/>
            <w:vAlign w:val="bottom"/>
            <w:shd w:val="clear" w:color="auto" w:fill="CCEEFF"/>
          </w:tcPr>
          <w:p>
            <w:pPr>
              <w:spacing w:after="0"/>
              <w:rPr>
                <w:sz w:val="18"/>
                <w:szCs w:val="18"/>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Dong Cheng District,</w:t>
            </w:r>
          </w:p>
        </w:tc>
        <w:tc>
          <w:tcPr>
            <w:tcW w:w="3340" w:type="dxa"/>
            <w:vAlign w:val="bottom"/>
            <w:shd w:val="clear" w:color="auto" w:fill="CCEEFF"/>
          </w:tcPr>
          <w:p>
            <w:pPr>
              <w:spacing w:after="0"/>
              <w:rPr>
                <w:sz w:val="18"/>
                <w:szCs w:val="18"/>
                <w:color w:val="auto"/>
              </w:rPr>
            </w:pPr>
          </w:p>
        </w:tc>
      </w:tr>
      <w:tr>
        <w:trPr>
          <w:trHeight w:val="225"/>
        </w:trPr>
        <w:tc>
          <w:tcPr>
            <w:tcW w:w="4100" w:type="dxa"/>
            <w:vAlign w:val="bottom"/>
            <w:shd w:val="clear" w:color="auto" w:fill="CCEEFF"/>
          </w:tcPr>
          <w:p>
            <w:pPr>
              <w:spacing w:after="0"/>
              <w:rPr>
                <w:sz w:val="19"/>
                <w:szCs w:val="19"/>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Beijing, China 100005</w:t>
            </w:r>
          </w:p>
        </w:tc>
        <w:tc>
          <w:tcPr>
            <w:tcW w:w="3340" w:type="dxa"/>
            <w:vAlign w:val="bottom"/>
            <w:shd w:val="clear" w:color="auto" w:fill="CCEEFF"/>
          </w:tcPr>
          <w:p>
            <w:pPr>
              <w:spacing w:after="0"/>
              <w:rPr>
                <w:sz w:val="19"/>
                <w:szCs w:val="19"/>
                <w:color w:val="auto"/>
              </w:rPr>
            </w:pPr>
          </w:p>
        </w:tc>
      </w:tr>
      <w:tr>
        <w:trPr>
          <w:trHeight w:val="212"/>
        </w:trPr>
        <w:tc>
          <w:tcPr>
            <w:tcW w:w="4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00"/>
        </w:trPr>
        <w:tc>
          <w:tcPr>
            <w:tcW w:w="41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Clinical Research (Beijing No.2) Co., Ltd</w:t>
            </w:r>
          </w:p>
        </w:tc>
        <w:tc>
          <w:tcPr>
            <w:tcW w:w="3980" w:type="dxa"/>
            <w:vAlign w:val="bottom"/>
            <w:shd w:val="clear" w:color="auto" w:fill="CCEEFF"/>
          </w:tcPr>
          <w:p>
            <w:pPr>
              <w:ind w:left="480"/>
              <w:spacing w:after="0" w:line="200" w:lineRule="exact"/>
              <w:rPr>
                <w:sz w:val="20"/>
                <w:szCs w:val="20"/>
                <w:color w:val="auto"/>
              </w:rPr>
            </w:pPr>
            <w:r>
              <w:rPr>
                <w:rFonts w:ascii="Arial" w:cs="Arial" w:eastAsia="Arial" w:hAnsi="Arial"/>
                <w:sz w:val="18"/>
                <w:szCs w:val="18"/>
                <w:color w:val="auto"/>
              </w:rPr>
              <w:t>Room 335,</w:t>
            </w:r>
          </w:p>
        </w:tc>
        <w:tc>
          <w:tcPr>
            <w:tcW w:w="3340" w:type="dxa"/>
            <w:vAlign w:val="bottom"/>
            <w:shd w:val="clear" w:color="auto" w:fill="CCEEFF"/>
          </w:tcPr>
          <w:p>
            <w:pPr>
              <w:ind w:left="106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100" w:type="dxa"/>
            <w:vAlign w:val="bottom"/>
            <w:shd w:val="clear" w:color="auto" w:fill="CCEEFF"/>
          </w:tcPr>
          <w:p>
            <w:pPr>
              <w:spacing w:after="0"/>
              <w:rPr>
                <w:sz w:val="18"/>
                <w:szCs w:val="18"/>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No.8, An Ning Zhuang East Road,</w:t>
            </w:r>
          </w:p>
        </w:tc>
        <w:tc>
          <w:tcPr>
            <w:tcW w:w="3340" w:type="dxa"/>
            <w:vAlign w:val="bottom"/>
            <w:shd w:val="clear" w:color="auto" w:fill="CCEEFF"/>
          </w:tcPr>
          <w:p>
            <w:pPr>
              <w:spacing w:after="0"/>
              <w:rPr>
                <w:sz w:val="18"/>
                <w:szCs w:val="18"/>
                <w:color w:val="auto"/>
              </w:rPr>
            </w:pPr>
          </w:p>
        </w:tc>
      </w:tr>
      <w:tr>
        <w:trPr>
          <w:trHeight w:val="212"/>
        </w:trPr>
        <w:tc>
          <w:tcPr>
            <w:tcW w:w="4100" w:type="dxa"/>
            <w:vAlign w:val="bottom"/>
            <w:shd w:val="clear" w:color="auto" w:fill="CCEEFF"/>
          </w:tcPr>
          <w:p>
            <w:pPr>
              <w:spacing w:after="0"/>
              <w:rPr>
                <w:sz w:val="18"/>
                <w:szCs w:val="18"/>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Haidian District,</w:t>
            </w:r>
          </w:p>
        </w:tc>
        <w:tc>
          <w:tcPr>
            <w:tcW w:w="3340" w:type="dxa"/>
            <w:vAlign w:val="bottom"/>
            <w:shd w:val="clear" w:color="auto" w:fill="CCEEFF"/>
          </w:tcPr>
          <w:p>
            <w:pPr>
              <w:spacing w:after="0"/>
              <w:rPr>
                <w:sz w:val="18"/>
                <w:szCs w:val="18"/>
                <w:color w:val="auto"/>
              </w:rPr>
            </w:pPr>
          </w:p>
        </w:tc>
      </w:tr>
      <w:tr>
        <w:trPr>
          <w:trHeight w:val="212"/>
        </w:trPr>
        <w:tc>
          <w:tcPr>
            <w:tcW w:w="4100" w:type="dxa"/>
            <w:vAlign w:val="bottom"/>
            <w:shd w:val="clear" w:color="auto" w:fill="CCEEFF"/>
          </w:tcPr>
          <w:p>
            <w:pPr>
              <w:spacing w:after="0"/>
              <w:rPr>
                <w:sz w:val="18"/>
                <w:szCs w:val="18"/>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Beijing,</w:t>
            </w:r>
          </w:p>
        </w:tc>
        <w:tc>
          <w:tcPr>
            <w:tcW w:w="3340" w:type="dxa"/>
            <w:vAlign w:val="bottom"/>
            <w:shd w:val="clear" w:color="auto" w:fill="CCEEFF"/>
          </w:tcPr>
          <w:p>
            <w:pPr>
              <w:spacing w:after="0"/>
              <w:rPr>
                <w:sz w:val="18"/>
                <w:szCs w:val="18"/>
                <w:color w:val="auto"/>
              </w:rPr>
            </w:pPr>
          </w:p>
        </w:tc>
      </w:tr>
      <w:tr>
        <w:trPr>
          <w:trHeight w:val="225"/>
        </w:trPr>
        <w:tc>
          <w:tcPr>
            <w:tcW w:w="4100" w:type="dxa"/>
            <w:vAlign w:val="bottom"/>
            <w:shd w:val="clear" w:color="auto" w:fill="CCEEFF"/>
          </w:tcPr>
          <w:p>
            <w:pPr>
              <w:spacing w:after="0"/>
              <w:rPr>
                <w:sz w:val="19"/>
                <w:szCs w:val="19"/>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China</w:t>
            </w:r>
          </w:p>
        </w:tc>
        <w:tc>
          <w:tcPr>
            <w:tcW w:w="3340" w:type="dxa"/>
            <w:vAlign w:val="bottom"/>
            <w:shd w:val="clear" w:color="auto" w:fill="CCEEFF"/>
          </w:tcPr>
          <w:p>
            <w:pPr>
              <w:spacing w:after="0"/>
              <w:rPr>
                <w:sz w:val="19"/>
                <w:szCs w:val="19"/>
                <w:color w:val="auto"/>
              </w:rPr>
            </w:pPr>
          </w:p>
        </w:tc>
      </w:tr>
      <w:tr>
        <w:trPr>
          <w:trHeight w:val="212"/>
        </w:trPr>
        <w:tc>
          <w:tcPr>
            <w:tcW w:w="4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00"/>
        </w:trPr>
        <w:tc>
          <w:tcPr>
            <w:tcW w:w="41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Clinical Research India Private Limited</w:t>
            </w:r>
          </w:p>
        </w:tc>
        <w:tc>
          <w:tcPr>
            <w:tcW w:w="3980" w:type="dxa"/>
            <w:vAlign w:val="bottom"/>
            <w:shd w:val="clear" w:color="auto" w:fill="CCEEFF"/>
          </w:tcPr>
          <w:p>
            <w:pPr>
              <w:ind w:left="480"/>
              <w:spacing w:after="0" w:line="200" w:lineRule="exact"/>
              <w:rPr>
                <w:sz w:val="20"/>
                <w:szCs w:val="20"/>
                <w:color w:val="auto"/>
              </w:rPr>
            </w:pPr>
            <w:r>
              <w:rPr>
                <w:rFonts w:ascii="Arial" w:cs="Arial" w:eastAsia="Arial" w:hAnsi="Arial"/>
                <w:sz w:val="18"/>
                <w:szCs w:val="18"/>
                <w:color w:val="auto"/>
              </w:rPr>
              <w:t>RMZ Millenia Business Park,</w:t>
            </w:r>
          </w:p>
        </w:tc>
        <w:tc>
          <w:tcPr>
            <w:tcW w:w="3340" w:type="dxa"/>
            <w:vAlign w:val="bottom"/>
            <w:shd w:val="clear" w:color="auto" w:fill="CCEEFF"/>
          </w:tcPr>
          <w:p>
            <w:pPr>
              <w:ind w:left="106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100" w:type="dxa"/>
            <w:vAlign w:val="bottom"/>
            <w:shd w:val="clear" w:color="auto" w:fill="CCEEFF"/>
          </w:tcPr>
          <w:p>
            <w:pPr>
              <w:spacing w:after="0"/>
              <w:rPr>
                <w:sz w:val="18"/>
                <w:szCs w:val="18"/>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Block 3A - 2nd Floor,</w:t>
            </w:r>
          </w:p>
        </w:tc>
        <w:tc>
          <w:tcPr>
            <w:tcW w:w="3340" w:type="dxa"/>
            <w:vAlign w:val="bottom"/>
            <w:shd w:val="clear" w:color="auto" w:fill="CCEEFF"/>
          </w:tcPr>
          <w:p>
            <w:pPr>
              <w:spacing w:after="0"/>
              <w:rPr>
                <w:sz w:val="18"/>
                <w:szCs w:val="18"/>
                <w:color w:val="auto"/>
              </w:rPr>
            </w:pPr>
          </w:p>
        </w:tc>
      </w:tr>
      <w:tr>
        <w:trPr>
          <w:trHeight w:val="212"/>
        </w:trPr>
        <w:tc>
          <w:tcPr>
            <w:tcW w:w="4100" w:type="dxa"/>
            <w:vAlign w:val="bottom"/>
            <w:shd w:val="clear" w:color="auto" w:fill="CCEEFF"/>
          </w:tcPr>
          <w:p>
            <w:pPr>
              <w:spacing w:after="0"/>
              <w:rPr>
                <w:sz w:val="18"/>
                <w:szCs w:val="18"/>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#143 Dr. MGR Road,</w:t>
            </w:r>
          </w:p>
        </w:tc>
        <w:tc>
          <w:tcPr>
            <w:tcW w:w="3340" w:type="dxa"/>
            <w:vAlign w:val="bottom"/>
            <w:shd w:val="clear" w:color="auto" w:fill="CCEEFF"/>
          </w:tcPr>
          <w:p>
            <w:pPr>
              <w:spacing w:after="0"/>
              <w:rPr>
                <w:sz w:val="18"/>
                <w:szCs w:val="18"/>
                <w:color w:val="auto"/>
              </w:rPr>
            </w:pPr>
          </w:p>
        </w:tc>
      </w:tr>
      <w:tr>
        <w:trPr>
          <w:trHeight w:val="212"/>
        </w:trPr>
        <w:tc>
          <w:tcPr>
            <w:tcW w:w="4100" w:type="dxa"/>
            <w:vAlign w:val="bottom"/>
            <w:shd w:val="clear" w:color="auto" w:fill="CCEEFF"/>
          </w:tcPr>
          <w:p>
            <w:pPr>
              <w:spacing w:after="0"/>
              <w:rPr>
                <w:sz w:val="18"/>
                <w:szCs w:val="18"/>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Kandanchavady,</w:t>
            </w:r>
          </w:p>
        </w:tc>
        <w:tc>
          <w:tcPr>
            <w:tcW w:w="3340" w:type="dxa"/>
            <w:vAlign w:val="bottom"/>
            <w:shd w:val="clear" w:color="auto" w:fill="CCEEFF"/>
          </w:tcPr>
          <w:p>
            <w:pPr>
              <w:spacing w:after="0"/>
              <w:rPr>
                <w:sz w:val="18"/>
                <w:szCs w:val="18"/>
                <w:color w:val="auto"/>
              </w:rPr>
            </w:pPr>
          </w:p>
        </w:tc>
      </w:tr>
      <w:tr>
        <w:trPr>
          <w:trHeight w:val="212"/>
        </w:trPr>
        <w:tc>
          <w:tcPr>
            <w:tcW w:w="4100" w:type="dxa"/>
            <w:vAlign w:val="bottom"/>
            <w:shd w:val="clear" w:color="auto" w:fill="CCEEFF"/>
          </w:tcPr>
          <w:p>
            <w:pPr>
              <w:spacing w:after="0"/>
              <w:rPr>
                <w:sz w:val="18"/>
                <w:szCs w:val="18"/>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Chennai,</w:t>
            </w:r>
          </w:p>
        </w:tc>
        <w:tc>
          <w:tcPr>
            <w:tcW w:w="3340" w:type="dxa"/>
            <w:vAlign w:val="bottom"/>
            <w:shd w:val="clear" w:color="auto" w:fill="CCEEFF"/>
          </w:tcPr>
          <w:p>
            <w:pPr>
              <w:spacing w:after="0"/>
              <w:rPr>
                <w:sz w:val="18"/>
                <w:szCs w:val="18"/>
                <w:color w:val="auto"/>
              </w:rPr>
            </w:pPr>
          </w:p>
        </w:tc>
      </w:tr>
      <w:tr>
        <w:trPr>
          <w:trHeight w:val="212"/>
        </w:trPr>
        <w:tc>
          <w:tcPr>
            <w:tcW w:w="4100" w:type="dxa"/>
            <w:vAlign w:val="bottom"/>
            <w:shd w:val="clear" w:color="auto" w:fill="CCEEFF"/>
          </w:tcPr>
          <w:p>
            <w:pPr>
              <w:spacing w:after="0"/>
              <w:rPr>
                <w:sz w:val="18"/>
                <w:szCs w:val="18"/>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Tamil Nadu,</w:t>
            </w:r>
          </w:p>
        </w:tc>
        <w:tc>
          <w:tcPr>
            <w:tcW w:w="3340" w:type="dxa"/>
            <w:vAlign w:val="bottom"/>
            <w:shd w:val="clear" w:color="auto" w:fill="CCEEFF"/>
          </w:tcPr>
          <w:p>
            <w:pPr>
              <w:spacing w:after="0"/>
              <w:rPr>
                <w:sz w:val="18"/>
                <w:szCs w:val="18"/>
                <w:color w:val="auto"/>
              </w:rPr>
            </w:pPr>
          </w:p>
        </w:tc>
      </w:tr>
      <w:tr>
        <w:trPr>
          <w:trHeight w:val="225"/>
        </w:trPr>
        <w:tc>
          <w:tcPr>
            <w:tcW w:w="4100" w:type="dxa"/>
            <w:vAlign w:val="bottom"/>
            <w:shd w:val="clear" w:color="auto" w:fill="CCEEFF"/>
          </w:tcPr>
          <w:p>
            <w:pPr>
              <w:spacing w:after="0"/>
              <w:rPr>
                <w:sz w:val="19"/>
                <w:szCs w:val="19"/>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India 600 096</w:t>
            </w:r>
          </w:p>
        </w:tc>
        <w:tc>
          <w:tcPr>
            <w:tcW w:w="3340" w:type="dxa"/>
            <w:vAlign w:val="bottom"/>
            <w:shd w:val="clear" w:color="auto" w:fill="CCEEFF"/>
          </w:tcPr>
          <w:p>
            <w:pPr>
              <w:spacing w:after="0"/>
              <w:rPr>
                <w:sz w:val="19"/>
                <w:szCs w:val="19"/>
                <w:color w:val="auto"/>
              </w:rPr>
            </w:pPr>
          </w:p>
        </w:tc>
      </w:tr>
      <w:tr>
        <w:trPr>
          <w:trHeight w:val="212"/>
        </w:trPr>
        <w:tc>
          <w:tcPr>
            <w:tcW w:w="4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00"/>
        </w:trPr>
        <w:tc>
          <w:tcPr>
            <w:tcW w:w="41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Japan K.K.</w:t>
            </w:r>
          </w:p>
        </w:tc>
        <w:tc>
          <w:tcPr>
            <w:tcW w:w="3980" w:type="dxa"/>
            <w:vAlign w:val="bottom"/>
            <w:shd w:val="clear" w:color="auto" w:fill="CCEEFF"/>
          </w:tcPr>
          <w:p>
            <w:pPr>
              <w:ind w:left="480"/>
              <w:spacing w:after="0" w:line="200" w:lineRule="exact"/>
              <w:rPr>
                <w:sz w:val="20"/>
                <w:szCs w:val="20"/>
                <w:color w:val="auto"/>
              </w:rPr>
            </w:pPr>
            <w:r>
              <w:rPr>
                <w:rFonts w:ascii="Arial" w:cs="Arial" w:eastAsia="Arial" w:hAnsi="Arial"/>
                <w:sz w:val="18"/>
                <w:szCs w:val="18"/>
                <w:color w:val="auto"/>
              </w:rPr>
              <w:t>6F-7F MD Kanda Building,</w:t>
            </w:r>
          </w:p>
        </w:tc>
        <w:tc>
          <w:tcPr>
            <w:tcW w:w="3340" w:type="dxa"/>
            <w:vAlign w:val="bottom"/>
            <w:shd w:val="clear" w:color="auto" w:fill="CCEEFF"/>
          </w:tcPr>
          <w:p>
            <w:pPr>
              <w:ind w:left="106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100" w:type="dxa"/>
            <w:vAlign w:val="bottom"/>
            <w:shd w:val="clear" w:color="auto" w:fill="CCEEFF"/>
          </w:tcPr>
          <w:p>
            <w:pPr>
              <w:spacing w:after="0"/>
              <w:rPr>
                <w:sz w:val="18"/>
                <w:szCs w:val="18"/>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9-1 Kanda Mitoyocho,</w:t>
            </w:r>
          </w:p>
        </w:tc>
        <w:tc>
          <w:tcPr>
            <w:tcW w:w="3340" w:type="dxa"/>
            <w:vAlign w:val="bottom"/>
            <w:shd w:val="clear" w:color="auto" w:fill="CCEEFF"/>
          </w:tcPr>
          <w:p>
            <w:pPr>
              <w:spacing w:after="0"/>
              <w:rPr>
                <w:sz w:val="18"/>
                <w:szCs w:val="18"/>
                <w:color w:val="auto"/>
              </w:rPr>
            </w:pPr>
          </w:p>
        </w:tc>
      </w:tr>
      <w:tr>
        <w:trPr>
          <w:trHeight w:val="212"/>
        </w:trPr>
        <w:tc>
          <w:tcPr>
            <w:tcW w:w="4100" w:type="dxa"/>
            <w:vAlign w:val="bottom"/>
            <w:shd w:val="clear" w:color="auto" w:fill="CCEEFF"/>
          </w:tcPr>
          <w:p>
            <w:pPr>
              <w:spacing w:after="0"/>
              <w:rPr>
                <w:sz w:val="18"/>
                <w:szCs w:val="18"/>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Chiyoda-ku,</w:t>
            </w:r>
          </w:p>
        </w:tc>
        <w:tc>
          <w:tcPr>
            <w:tcW w:w="3340" w:type="dxa"/>
            <w:vAlign w:val="bottom"/>
            <w:shd w:val="clear" w:color="auto" w:fill="CCEEFF"/>
          </w:tcPr>
          <w:p>
            <w:pPr>
              <w:spacing w:after="0"/>
              <w:rPr>
                <w:sz w:val="18"/>
                <w:szCs w:val="18"/>
                <w:color w:val="auto"/>
              </w:rPr>
            </w:pPr>
          </w:p>
        </w:tc>
      </w:tr>
      <w:tr>
        <w:trPr>
          <w:trHeight w:val="212"/>
        </w:trPr>
        <w:tc>
          <w:tcPr>
            <w:tcW w:w="4100" w:type="dxa"/>
            <w:vAlign w:val="bottom"/>
            <w:shd w:val="clear" w:color="auto" w:fill="CCEEFF"/>
          </w:tcPr>
          <w:p>
            <w:pPr>
              <w:spacing w:after="0"/>
              <w:rPr>
                <w:sz w:val="18"/>
                <w:szCs w:val="18"/>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Tokyo 101-0053</w:t>
            </w:r>
          </w:p>
        </w:tc>
        <w:tc>
          <w:tcPr>
            <w:tcW w:w="3340" w:type="dxa"/>
            <w:vAlign w:val="bottom"/>
            <w:shd w:val="clear" w:color="auto" w:fill="CCEEFF"/>
          </w:tcPr>
          <w:p>
            <w:pPr>
              <w:spacing w:after="0"/>
              <w:rPr>
                <w:sz w:val="18"/>
                <w:szCs w:val="18"/>
                <w:color w:val="auto"/>
              </w:rPr>
            </w:pPr>
          </w:p>
        </w:tc>
      </w:tr>
      <w:tr>
        <w:trPr>
          <w:trHeight w:val="225"/>
        </w:trPr>
        <w:tc>
          <w:tcPr>
            <w:tcW w:w="4100" w:type="dxa"/>
            <w:vAlign w:val="bottom"/>
            <w:shd w:val="clear" w:color="auto" w:fill="CCEEFF"/>
          </w:tcPr>
          <w:p>
            <w:pPr>
              <w:spacing w:after="0"/>
              <w:rPr>
                <w:sz w:val="19"/>
                <w:szCs w:val="19"/>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Japan</w:t>
            </w:r>
          </w:p>
        </w:tc>
        <w:tc>
          <w:tcPr>
            <w:tcW w:w="3340" w:type="dxa"/>
            <w:vAlign w:val="bottom"/>
            <w:shd w:val="clear" w:color="auto" w:fill="CCEEFF"/>
          </w:tcPr>
          <w:p>
            <w:pPr>
              <w:spacing w:after="0"/>
              <w:rPr>
                <w:sz w:val="19"/>
                <w:szCs w:val="19"/>
                <w:color w:val="auto"/>
              </w:rPr>
            </w:pPr>
          </w:p>
        </w:tc>
      </w:tr>
      <w:tr>
        <w:trPr>
          <w:trHeight w:val="212"/>
        </w:trPr>
        <w:tc>
          <w:tcPr>
            <w:tcW w:w="4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00"/>
        </w:trPr>
        <w:tc>
          <w:tcPr>
            <w:tcW w:w="41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Clinical Research Korea Yuhan Hoesa</w:t>
            </w:r>
          </w:p>
        </w:tc>
        <w:tc>
          <w:tcPr>
            <w:tcW w:w="3980" w:type="dxa"/>
            <w:vAlign w:val="bottom"/>
            <w:shd w:val="clear" w:color="auto" w:fill="CCEEFF"/>
          </w:tcPr>
          <w:p>
            <w:pPr>
              <w:ind w:left="480"/>
              <w:spacing w:after="0" w:line="200" w:lineRule="exact"/>
              <w:rPr>
                <w:sz w:val="20"/>
                <w:szCs w:val="20"/>
                <w:color w:val="auto"/>
              </w:rPr>
            </w:pPr>
            <w:r>
              <w:rPr>
                <w:rFonts w:ascii="Arial" w:cs="Arial" w:eastAsia="Arial" w:hAnsi="Arial"/>
                <w:sz w:val="18"/>
                <w:szCs w:val="18"/>
                <w:color w:val="auto"/>
              </w:rPr>
              <w:t>Capital Tower,</w:t>
            </w:r>
          </w:p>
        </w:tc>
        <w:tc>
          <w:tcPr>
            <w:tcW w:w="3340" w:type="dxa"/>
            <w:vAlign w:val="bottom"/>
            <w:shd w:val="clear" w:color="auto" w:fill="CCEEFF"/>
          </w:tcPr>
          <w:p>
            <w:pPr>
              <w:ind w:left="106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100" w:type="dxa"/>
            <w:vAlign w:val="bottom"/>
            <w:shd w:val="clear" w:color="auto" w:fill="CCEEFF"/>
          </w:tcPr>
          <w:p>
            <w:pPr>
              <w:spacing w:after="0"/>
              <w:rPr>
                <w:sz w:val="18"/>
                <w:szCs w:val="18"/>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18th Floor</w:t>
            </w:r>
          </w:p>
        </w:tc>
        <w:tc>
          <w:tcPr>
            <w:tcW w:w="3340" w:type="dxa"/>
            <w:vAlign w:val="bottom"/>
            <w:shd w:val="clear" w:color="auto" w:fill="CCEEFF"/>
          </w:tcPr>
          <w:p>
            <w:pPr>
              <w:spacing w:after="0"/>
              <w:rPr>
                <w:sz w:val="18"/>
                <w:szCs w:val="18"/>
                <w:color w:val="auto"/>
              </w:rPr>
            </w:pPr>
          </w:p>
        </w:tc>
      </w:tr>
      <w:tr>
        <w:trPr>
          <w:trHeight w:val="212"/>
        </w:trPr>
        <w:tc>
          <w:tcPr>
            <w:tcW w:w="4100" w:type="dxa"/>
            <w:vAlign w:val="bottom"/>
            <w:shd w:val="clear" w:color="auto" w:fill="CCEEFF"/>
          </w:tcPr>
          <w:p>
            <w:pPr>
              <w:spacing w:after="0"/>
              <w:rPr>
                <w:sz w:val="18"/>
                <w:szCs w:val="18"/>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736-1 Yeoksam-dong</w:t>
            </w:r>
          </w:p>
        </w:tc>
        <w:tc>
          <w:tcPr>
            <w:tcW w:w="3340" w:type="dxa"/>
            <w:vAlign w:val="bottom"/>
            <w:shd w:val="clear" w:color="auto" w:fill="CCEEFF"/>
          </w:tcPr>
          <w:p>
            <w:pPr>
              <w:spacing w:after="0"/>
              <w:rPr>
                <w:sz w:val="18"/>
                <w:szCs w:val="18"/>
                <w:color w:val="auto"/>
              </w:rPr>
            </w:pPr>
          </w:p>
        </w:tc>
      </w:tr>
      <w:tr>
        <w:trPr>
          <w:trHeight w:val="212"/>
        </w:trPr>
        <w:tc>
          <w:tcPr>
            <w:tcW w:w="4100" w:type="dxa"/>
            <w:vAlign w:val="bottom"/>
            <w:shd w:val="clear" w:color="auto" w:fill="CCEEFF"/>
          </w:tcPr>
          <w:p>
            <w:pPr>
              <w:spacing w:after="0"/>
              <w:rPr>
                <w:sz w:val="18"/>
                <w:szCs w:val="18"/>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Gangnam-gu</w:t>
            </w:r>
          </w:p>
        </w:tc>
        <w:tc>
          <w:tcPr>
            <w:tcW w:w="3340" w:type="dxa"/>
            <w:vAlign w:val="bottom"/>
            <w:shd w:val="clear" w:color="auto" w:fill="CCEEFF"/>
          </w:tcPr>
          <w:p>
            <w:pPr>
              <w:spacing w:after="0"/>
              <w:rPr>
                <w:sz w:val="18"/>
                <w:szCs w:val="18"/>
                <w:color w:val="auto"/>
              </w:rPr>
            </w:pPr>
          </w:p>
        </w:tc>
      </w:tr>
      <w:tr>
        <w:trPr>
          <w:trHeight w:val="212"/>
        </w:trPr>
        <w:tc>
          <w:tcPr>
            <w:tcW w:w="4100" w:type="dxa"/>
            <w:vAlign w:val="bottom"/>
            <w:shd w:val="clear" w:color="auto" w:fill="CCEEFF"/>
          </w:tcPr>
          <w:p>
            <w:pPr>
              <w:spacing w:after="0"/>
              <w:rPr>
                <w:sz w:val="18"/>
                <w:szCs w:val="18"/>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Seoul</w:t>
            </w:r>
          </w:p>
        </w:tc>
        <w:tc>
          <w:tcPr>
            <w:tcW w:w="3340" w:type="dxa"/>
            <w:vAlign w:val="bottom"/>
            <w:shd w:val="clear" w:color="auto" w:fill="CCEEFF"/>
          </w:tcPr>
          <w:p>
            <w:pPr>
              <w:spacing w:after="0"/>
              <w:rPr>
                <w:sz w:val="18"/>
                <w:szCs w:val="18"/>
                <w:color w:val="auto"/>
              </w:rPr>
            </w:pPr>
          </w:p>
        </w:tc>
      </w:tr>
      <w:tr>
        <w:trPr>
          <w:trHeight w:val="225"/>
        </w:trPr>
        <w:tc>
          <w:tcPr>
            <w:tcW w:w="4100" w:type="dxa"/>
            <w:vAlign w:val="bottom"/>
            <w:shd w:val="clear" w:color="auto" w:fill="CCEEFF"/>
          </w:tcPr>
          <w:p>
            <w:pPr>
              <w:spacing w:after="0"/>
              <w:rPr>
                <w:sz w:val="19"/>
                <w:szCs w:val="19"/>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Korea 135-983</w:t>
            </w:r>
          </w:p>
        </w:tc>
        <w:tc>
          <w:tcPr>
            <w:tcW w:w="3340" w:type="dxa"/>
            <w:vAlign w:val="bottom"/>
            <w:shd w:val="clear" w:color="auto" w:fill="CCEEFF"/>
          </w:tcPr>
          <w:p>
            <w:pPr>
              <w:spacing w:after="0"/>
              <w:rPr>
                <w:sz w:val="19"/>
                <w:szCs w:val="19"/>
                <w:color w:val="auto"/>
              </w:rPr>
            </w:pPr>
          </w:p>
        </w:tc>
      </w:tr>
      <w:tr>
        <w:trPr>
          <w:trHeight w:val="212"/>
        </w:trPr>
        <w:tc>
          <w:tcPr>
            <w:tcW w:w="4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00"/>
        </w:trPr>
        <w:tc>
          <w:tcPr>
            <w:tcW w:w="41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Clinical Research Hong Kong Limited</w:t>
            </w:r>
          </w:p>
        </w:tc>
        <w:tc>
          <w:tcPr>
            <w:tcW w:w="3980" w:type="dxa"/>
            <w:vAlign w:val="bottom"/>
            <w:shd w:val="clear" w:color="auto" w:fill="CCEEFF"/>
          </w:tcPr>
          <w:p>
            <w:pPr>
              <w:ind w:left="480"/>
              <w:spacing w:after="0" w:line="200" w:lineRule="exact"/>
              <w:rPr>
                <w:sz w:val="20"/>
                <w:szCs w:val="20"/>
                <w:color w:val="auto"/>
              </w:rPr>
            </w:pPr>
            <w:r>
              <w:rPr>
                <w:rFonts w:ascii="Arial" w:cs="Arial" w:eastAsia="Arial" w:hAnsi="Arial"/>
                <w:sz w:val="18"/>
                <w:szCs w:val="18"/>
                <w:color w:val="auto"/>
              </w:rPr>
              <w:t>Suite 503, 5/F,</w:t>
            </w:r>
          </w:p>
        </w:tc>
        <w:tc>
          <w:tcPr>
            <w:tcW w:w="3340" w:type="dxa"/>
            <w:vAlign w:val="bottom"/>
            <w:shd w:val="clear" w:color="auto" w:fill="CCEEFF"/>
          </w:tcPr>
          <w:p>
            <w:pPr>
              <w:ind w:left="106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100" w:type="dxa"/>
            <w:vAlign w:val="bottom"/>
            <w:shd w:val="clear" w:color="auto" w:fill="CCEEFF"/>
          </w:tcPr>
          <w:p>
            <w:pPr>
              <w:spacing w:after="0"/>
              <w:rPr>
                <w:sz w:val="18"/>
                <w:szCs w:val="18"/>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Chinachem Exchange Square,</w:t>
            </w:r>
          </w:p>
        </w:tc>
        <w:tc>
          <w:tcPr>
            <w:tcW w:w="3340" w:type="dxa"/>
            <w:vAlign w:val="bottom"/>
            <w:shd w:val="clear" w:color="auto" w:fill="CCEEFF"/>
          </w:tcPr>
          <w:p>
            <w:pPr>
              <w:spacing w:after="0"/>
              <w:rPr>
                <w:sz w:val="18"/>
                <w:szCs w:val="18"/>
                <w:color w:val="auto"/>
              </w:rPr>
            </w:pPr>
          </w:p>
        </w:tc>
      </w:tr>
      <w:tr>
        <w:trPr>
          <w:trHeight w:val="212"/>
        </w:trPr>
        <w:tc>
          <w:tcPr>
            <w:tcW w:w="4100" w:type="dxa"/>
            <w:vAlign w:val="bottom"/>
            <w:shd w:val="clear" w:color="auto" w:fill="CCEEFF"/>
          </w:tcPr>
          <w:p>
            <w:pPr>
              <w:spacing w:after="0"/>
              <w:rPr>
                <w:sz w:val="18"/>
                <w:szCs w:val="18"/>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 Hoi Wan Street,</w:t>
            </w:r>
          </w:p>
        </w:tc>
        <w:tc>
          <w:tcPr>
            <w:tcW w:w="3340" w:type="dxa"/>
            <w:vAlign w:val="bottom"/>
            <w:shd w:val="clear" w:color="auto" w:fill="CCEEFF"/>
          </w:tcPr>
          <w:p>
            <w:pPr>
              <w:spacing w:after="0"/>
              <w:rPr>
                <w:sz w:val="18"/>
                <w:szCs w:val="18"/>
                <w:color w:val="auto"/>
              </w:rPr>
            </w:pPr>
          </w:p>
        </w:tc>
      </w:tr>
      <w:tr>
        <w:trPr>
          <w:trHeight w:val="212"/>
        </w:trPr>
        <w:tc>
          <w:tcPr>
            <w:tcW w:w="4100" w:type="dxa"/>
            <w:vAlign w:val="bottom"/>
            <w:shd w:val="clear" w:color="auto" w:fill="CCEEFF"/>
          </w:tcPr>
          <w:p>
            <w:pPr>
              <w:spacing w:after="0"/>
              <w:rPr>
                <w:sz w:val="18"/>
                <w:szCs w:val="18"/>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Quarry Bay,</w:t>
            </w:r>
          </w:p>
        </w:tc>
        <w:tc>
          <w:tcPr>
            <w:tcW w:w="3340" w:type="dxa"/>
            <w:vAlign w:val="bottom"/>
            <w:shd w:val="clear" w:color="auto" w:fill="CCEEFF"/>
          </w:tcPr>
          <w:p>
            <w:pPr>
              <w:spacing w:after="0"/>
              <w:rPr>
                <w:sz w:val="18"/>
                <w:szCs w:val="18"/>
                <w:color w:val="auto"/>
              </w:rPr>
            </w:pPr>
          </w:p>
        </w:tc>
      </w:tr>
      <w:tr>
        <w:trPr>
          <w:trHeight w:val="225"/>
        </w:trPr>
        <w:tc>
          <w:tcPr>
            <w:tcW w:w="4100" w:type="dxa"/>
            <w:vAlign w:val="bottom"/>
            <w:shd w:val="clear" w:color="auto" w:fill="CCEEFF"/>
          </w:tcPr>
          <w:p>
            <w:pPr>
              <w:spacing w:after="0"/>
              <w:rPr>
                <w:sz w:val="19"/>
                <w:szCs w:val="19"/>
                <w:color w:val="auto"/>
              </w:rPr>
            </w:pPr>
          </w:p>
        </w:tc>
        <w:tc>
          <w:tcPr>
            <w:tcW w:w="3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Hong Kong</w:t>
            </w:r>
          </w:p>
        </w:tc>
        <w:tc>
          <w:tcPr>
            <w:tcW w:w="3340" w:type="dxa"/>
            <w:vAlign w:val="bottom"/>
            <w:shd w:val="clear" w:color="auto" w:fill="CCEEFF"/>
          </w:tcPr>
          <w:p>
            <w:pPr>
              <w:spacing w:after="0"/>
              <w:rPr>
                <w:sz w:val="19"/>
                <w:szCs w:val="19"/>
                <w:color w:val="auto"/>
              </w:rPr>
            </w:pPr>
          </w:p>
        </w:tc>
      </w:tr>
      <w:tr>
        <w:trPr>
          <w:trHeight w:val="412"/>
        </w:trPr>
        <w:tc>
          <w:tcPr>
            <w:tcW w:w="4100" w:type="dxa"/>
            <w:vAlign w:val="bottom"/>
          </w:tcPr>
          <w:p>
            <w:pPr>
              <w:ind w:left="160"/>
              <w:spacing w:after="0"/>
              <w:rPr>
                <w:sz w:val="20"/>
                <w:szCs w:val="20"/>
                <w:color w:val="auto"/>
              </w:rPr>
            </w:pPr>
            <w:r>
              <w:rPr>
                <w:rFonts w:ascii="Arial" w:cs="Arial" w:eastAsia="Arial" w:hAnsi="Arial"/>
                <w:sz w:val="18"/>
                <w:szCs w:val="18"/>
                <w:color w:val="auto"/>
              </w:rPr>
              <w:t>ICON Clinical Research (New Zealand) Limited</w:t>
            </w:r>
          </w:p>
        </w:tc>
        <w:tc>
          <w:tcPr>
            <w:tcW w:w="3980" w:type="dxa"/>
            <w:vAlign w:val="bottom"/>
          </w:tcPr>
          <w:p>
            <w:pPr>
              <w:ind w:left="480"/>
              <w:spacing w:after="0"/>
              <w:rPr>
                <w:sz w:val="20"/>
                <w:szCs w:val="20"/>
                <w:color w:val="auto"/>
              </w:rPr>
            </w:pPr>
            <w:r>
              <w:rPr>
                <w:rFonts w:ascii="Arial" w:cs="Arial" w:eastAsia="Arial" w:hAnsi="Arial"/>
                <w:sz w:val="18"/>
                <w:szCs w:val="18"/>
                <w:color w:val="auto"/>
              </w:rPr>
              <w:t>Plaza Level,</w:t>
            </w:r>
          </w:p>
        </w:tc>
        <w:tc>
          <w:tcPr>
            <w:tcW w:w="3340" w:type="dxa"/>
            <w:vAlign w:val="bottom"/>
          </w:tcPr>
          <w:p>
            <w:pPr>
              <w:ind w:left="1060"/>
              <w:spacing w:after="0"/>
              <w:rPr>
                <w:sz w:val="20"/>
                <w:szCs w:val="20"/>
                <w:color w:val="auto"/>
              </w:rPr>
            </w:pPr>
            <w:r>
              <w:rPr>
                <w:rFonts w:ascii="Arial" w:cs="Arial" w:eastAsia="Arial" w:hAnsi="Arial"/>
                <w:sz w:val="18"/>
                <w:szCs w:val="18"/>
                <w:color w:val="auto"/>
              </w:rPr>
              <w:t>100%</w:t>
            </w:r>
          </w:p>
        </w:tc>
      </w:tr>
      <w:tr>
        <w:trPr>
          <w:trHeight w:val="212"/>
        </w:trPr>
        <w:tc>
          <w:tcPr>
            <w:tcW w:w="410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Arial" w:cs="Arial" w:eastAsia="Arial" w:hAnsi="Arial"/>
                <w:sz w:val="18"/>
                <w:szCs w:val="18"/>
                <w:color w:val="auto"/>
              </w:rPr>
              <w:t>AXA Centre,</w:t>
            </w:r>
          </w:p>
        </w:tc>
        <w:tc>
          <w:tcPr>
            <w:tcW w:w="3340" w:type="dxa"/>
            <w:vAlign w:val="bottom"/>
          </w:tcPr>
          <w:p>
            <w:pPr>
              <w:spacing w:after="0"/>
              <w:rPr>
                <w:sz w:val="18"/>
                <w:szCs w:val="18"/>
                <w:color w:val="auto"/>
              </w:rPr>
            </w:pPr>
          </w:p>
        </w:tc>
      </w:tr>
      <w:tr>
        <w:trPr>
          <w:trHeight w:val="223"/>
        </w:trPr>
        <w:tc>
          <w:tcPr>
            <w:tcW w:w="4100" w:type="dxa"/>
            <w:vAlign w:val="bottom"/>
          </w:tcPr>
          <w:p>
            <w:pPr>
              <w:spacing w:after="0"/>
              <w:rPr>
                <w:sz w:val="19"/>
                <w:szCs w:val="19"/>
                <w:color w:val="auto"/>
              </w:rPr>
            </w:pPr>
          </w:p>
        </w:tc>
        <w:tc>
          <w:tcPr>
            <w:tcW w:w="3980" w:type="dxa"/>
            <w:vAlign w:val="bottom"/>
          </w:tcPr>
          <w:p>
            <w:pPr>
              <w:ind w:left="480"/>
              <w:spacing w:after="0"/>
              <w:rPr>
                <w:sz w:val="20"/>
                <w:szCs w:val="20"/>
                <w:color w:val="auto"/>
              </w:rPr>
            </w:pPr>
            <w:r>
              <w:rPr>
                <w:rFonts w:ascii="Arial" w:cs="Arial" w:eastAsia="Arial" w:hAnsi="Arial"/>
                <w:sz w:val="18"/>
                <w:szCs w:val="18"/>
                <w:color w:val="auto"/>
              </w:rPr>
              <w:t>41 Shortland Street,</w:t>
            </w:r>
          </w:p>
        </w:tc>
        <w:tc>
          <w:tcPr>
            <w:tcW w:w="33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-402590</wp:posOffset>
            </wp:positionV>
            <wp:extent cx="7249160" cy="673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9160" cy="673735"/>
                    </a:xfrm>
                    <a:prstGeom prst="rect">
                      <a:avLst/>
                    </a:prstGeom>
                    <a:noFill/>
                  </pic:spPr>
                </pic:pic>
              </a:graphicData>
            </a:graphic>
          </wp:anchor>
        </w:drawing>
      </w:r>
    </w:p>
    <w:p>
      <w:pPr>
        <w:ind w:left="4580"/>
        <w:spacing w:after="0"/>
        <w:rPr>
          <w:sz w:val="20"/>
          <w:szCs w:val="20"/>
          <w:color w:val="auto"/>
        </w:rPr>
      </w:pPr>
      <w:r>
        <w:rPr>
          <w:rFonts w:ascii="Arial" w:cs="Arial" w:eastAsia="Arial" w:hAnsi="Arial"/>
          <w:sz w:val="18"/>
          <w:szCs w:val="18"/>
          <w:color w:val="auto"/>
        </w:rPr>
        <w:t>Auckland,</w:t>
      </w:r>
    </w:p>
    <w:p>
      <w:pPr>
        <w:spacing w:after="0" w:line="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New Zealand 1010</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60" w:type="dxa"/>
            <w:vAlign w:val="bottom"/>
          </w:tcPr>
          <w:p>
            <w:pPr>
              <w:spacing w:after="0"/>
              <w:rPr>
                <w:sz w:val="20"/>
                <w:szCs w:val="20"/>
                <w:color w:val="auto"/>
              </w:rPr>
            </w:pPr>
            <w:r>
              <w:rPr>
                <w:rFonts w:ascii="Arial" w:cs="Arial" w:eastAsia="Arial" w:hAnsi="Arial"/>
                <w:sz w:val="18"/>
                <w:szCs w:val="18"/>
                <w:b w:val="1"/>
                <w:bCs w:val="1"/>
                <w:color w:val="auto"/>
              </w:rPr>
              <w:t xml:space="preserve">31. Subsidiary Undertakings </w:t>
            </w:r>
            <w:r>
              <w:rPr>
                <w:rFonts w:ascii="Arial" w:cs="Arial" w:eastAsia="Arial" w:hAnsi="Arial"/>
                <w:sz w:val="18"/>
                <w:szCs w:val="18"/>
                <w:b w:val="1"/>
                <w:bCs w:val="1"/>
                <w:i w:val="1"/>
                <w:iCs w:val="1"/>
                <w:color w:val="auto"/>
              </w:rPr>
              <w:t>(continued)</w:t>
            </w:r>
          </w:p>
        </w:tc>
        <w:tc>
          <w:tcPr>
            <w:tcW w:w="38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39"/>
        </w:trPr>
        <w:tc>
          <w:tcPr>
            <w:tcW w:w="4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00" w:type="dxa"/>
            <w:vAlign w:val="bottom"/>
          </w:tcPr>
          <w:p>
            <w:pPr>
              <w:ind w:left="1120"/>
              <w:spacing w:after="0"/>
              <w:rPr>
                <w:sz w:val="20"/>
                <w:szCs w:val="20"/>
                <w:color w:val="auto"/>
              </w:rPr>
            </w:pPr>
            <w:r>
              <w:rPr>
                <w:rFonts w:ascii="Arial" w:cs="Arial" w:eastAsia="Arial" w:hAnsi="Arial"/>
                <w:sz w:val="18"/>
                <w:szCs w:val="18"/>
                <w:b w:val="1"/>
                <w:bCs w:val="1"/>
                <w:i w:val="1"/>
                <w:iCs w:val="1"/>
                <w:color w:val="auto"/>
              </w:rPr>
              <w:t>Proportion held by</w:t>
            </w:r>
          </w:p>
        </w:tc>
      </w:tr>
      <w:tr>
        <w:trPr>
          <w:trHeight w:val="223"/>
        </w:trPr>
        <w:tc>
          <w:tcPr>
            <w:tcW w:w="41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Name</w:t>
            </w:r>
          </w:p>
        </w:tc>
        <w:tc>
          <w:tcPr>
            <w:tcW w:w="386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Registered Office</w:t>
            </w:r>
          </w:p>
        </w:tc>
        <w:tc>
          <w:tcPr>
            <w:tcW w:w="3400" w:type="dxa"/>
            <w:vAlign w:val="bottom"/>
          </w:tcPr>
          <w:p>
            <w:pPr>
              <w:ind w:left="1120"/>
              <w:spacing w:after="0"/>
              <w:rPr>
                <w:sz w:val="20"/>
                <w:szCs w:val="20"/>
                <w:color w:val="auto"/>
              </w:rPr>
            </w:pPr>
            <w:r>
              <w:rPr>
                <w:rFonts w:ascii="Arial" w:cs="Arial" w:eastAsia="Arial" w:hAnsi="Arial"/>
                <w:sz w:val="18"/>
                <w:szCs w:val="18"/>
                <w:b w:val="1"/>
                <w:bCs w:val="1"/>
                <w:i w:val="1"/>
                <w:iCs w:val="1"/>
                <w:color w:val="auto"/>
              </w:rPr>
              <w:t>group</w:t>
            </w:r>
          </w:p>
        </w:tc>
      </w:tr>
      <w:tr>
        <w:trPr>
          <w:trHeight w:val="213"/>
        </w:trPr>
        <w:tc>
          <w:tcPr>
            <w:tcW w:w="4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00"/>
        </w:trPr>
        <w:tc>
          <w:tcPr>
            <w:tcW w:w="416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Clinical Research Services Philippines, Inc.</w:t>
            </w:r>
          </w:p>
        </w:tc>
        <w:tc>
          <w:tcPr>
            <w:tcW w:w="386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28th Floor, Tower 2</w:t>
            </w:r>
          </w:p>
        </w:tc>
        <w:tc>
          <w:tcPr>
            <w:tcW w:w="3400" w:type="dxa"/>
            <w:vAlign w:val="bottom"/>
            <w:shd w:val="clear" w:color="auto" w:fill="CCEEFF"/>
          </w:tcPr>
          <w:p>
            <w:pPr>
              <w:ind w:left="11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160" w:type="dxa"/>
            <w:vAlign w:val="bottom"/>
            <w:shd w:val="clear" w:color="auto" w:fill="CCEEFF"/>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 Enterprise Center</w:t>
            </w:r>
          </w:p>
        </w:tc>
        <w:tc>
          <w:tcPr>
            <w:tcW w:w="3400" w:type="dxa"/>
            <w:vAlign w:val="bottom"/>
            <w:shd w:val="clear" w:color="auto" w:fill="CCEEFF"/>
          </w:tcPr>
          <w:p>
            <w:pPr>
              <w:spacing w:after="0"/>
              <w:rPr>
                <w:sz w:val="18"/>
                <w:szCs w:val="18"/>
                <w:color w:val="auto"/>
              </w:rPr>
            </w:pPr>
          </w:p>
        </w:tc>
      </w:tr>
      <w:tr>
        <w:trPr>
          <w:trHeight w:val="212"/>
        </w:trPr>
        <w:tc>
          <w:tcPr>
            <w:tcW w:w="4160" w:type="dxa"/>
            <w:vAlign w:val="bottom"/>
            <w:shd w:val="clear" w:color="auto" w:fill="CCEEFF"/>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6766 Ayala Ave. corner Paseo de</w:t>
            </w:r>
          </w:p>
        </w:tc>
        <w:tc>
          <w:tcPr>
            <w:tcW w:w="3400" w:type="dxa"/>
            <w:vAlign w:val="bottom"/>
            <w:shd w:val="clear" w:color="auto" w:fill="CCEEFF"/>
          </w:tcPr>
          <w:p>
            <w:pPr>
              <w:spacing w:after="0"/>
              <w:rPr>
                <w:sz w:val="18"/>
                <w:szCs w:val="18"/>
                <w:color w:val="auto"/>
              </w:rPr>
            </w:pPr>
          </w:p>
        </w:tc>
      </w:tr>
      <w:tr>
        <w:trPr>
          <w:trHeight w:val="212"/>
        </w:trPr>
        <w:tc>
          <w:tcPr>
            <w:tcW w:w="4160" w:type="dxa"/>
            <w:vAlign w:val="bottom"/>
            <w:shd w:val="clear" w:color="auto" w:fill="CCEEFF"/>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Roxas</w:t>
            </w:r>
          </w:p>
        </w:tc>
        <w:tc>
          <w:tcPr>
            <w:tcW w:w="3400" w:type="dxa"/>
            <w:vAlign w:val="bottom"/>
            <w:shd w:val="clear" w:color="auto" w:fill="CCEEFF"/>
          </w:tcPr>
          <w:p>
            <w:pPr>
              <w:spacing w:after="0"/>
              <w:rPr>
                <w:sz w:val="18"/>
                <w:szCs w:val="18"/>
                <w:color w:val="auto"/>
              </w:rPr>
            </w:pPr>
          </w:p>
        </w:tc>
      </w:tr>
      <w:tr>
        <w:trPr>
          <w:trHeight w:val="212"/>
        </w:trPr>
        <w:tc>
          <w:tcPr>
            <w:tcW w:w="4160" w:type="dxa"/>
            <w:vAlign w:val="bottom"/>
            <w:shd w:val="clear" w:color="auto" w:fill="CCEEFF"/>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Makati City</w:t>
            </w:r>
          </w:p>
        </w:tc>
        <w:tc>
          <w:tcPr>
            <w:tcW w:w="3400" w:type="dxa"/>
            <w:vAlign w:val="bottom"/>
            <w:shd w:val="clear" w:color="auto" w:fill="CCEEFF"/>
          </w:tcPr>
          <w:p>
            <w:pPr>
              <w:spacing w:after="0"/>
              <w:rPr>
                <w:sz w:val="18"/>
                <w:szCs w:val="18"/>
                <w:color w:val="auto"/>
              </w:rPr>
            </w:pPr>
          </w:p>
        </w:tc>
      </w:tr>
      <w:tr>
        <w:trPr>
          <w:trHeight w:val="225"/>
        </w:trPr>
        <w:tc>
          <w:tcPr>
            <w:tcW w:w="4160" w:type="dxa"/>
            <w:vAlign w:val="bottom"/>
            <w:shd w:val="clear" w:color="auto" w:fill="CCEEFF"/>
          </w:tcPr>
          <w:p>
            <w:pPr>
              <w:spacing w:after="0"/>
              <w:rPr>
                <w:sz w:val="19"/>
                <w:szCs w:val="19"/>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1226 Philippines</w:t>
            </w:r>
          </w:p>
        </w:tc>
        <w:tc>
          <w:tcPr>
            <w:tcW w:w="3400" w:type="dxa"/>
            <w:vAlign w:val="bottom"/>
            <w:shd w:val="clear" w:color="auto" w:fill="CCEEFF"/>
          </w:tcPr>
          <w:p>
            <w:pPr>
              <w:spacing w:after="0"/>
              <w:rPr>
                <w:sz w:val="19"/>
                <w:szCs w:val="19"/>
                <w:color w:val="auto"/>
              </w:rPr>
            </w:pPr>
          </w:p>
        </w:tc>
      </w:tr>
      <w:tr>
        <w:trPr>
          <w:trHeight w:val="212"/>
        </w:trPr>
        <w:tc>
          <w:tcPr>
            <w:tcW w:w="4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00"/>
        </w:trPr>
        <w:tc>
          <w:tcPr>
            <w:tcW w:w="416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ICON Clinical Research (Pte) Limited</w:t>
            </w:r>
          </w:p>
        </w:tc>
        <w:tc>
          <w:tcPr>
            <w:tcW w:w="386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24 Raffles Place #24-</w:t>
            </w:r>
          </w:p>
        </w:tc>
        <w:tc>
          <w:tcPr>
            <w:tcW w:w="3400" w:type="dxa"/>
            <w:vAlign w:val="bottom"/>
            <w:shd w:val="clear" w:color="auto" w:fill="CCEEFF"/>
          </w:tcPr>
          <w:p>
            <w:pPr>
              <w:ind w:left="11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4160" w:type="dxa"/>
            <w:vAlign w:val="bottom"/>
            <w:shd w:val="clear" w:color="auto" w:fill="CCEEFF"/>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03</w:t>
            </w:r>
          </w:p>
        </w:tc>
        <w:tc>
          <w:tcPr>
            <w:tcW w:w="3400" w:type="dxa"/>
            <w:vAlign w:val="bottom"/>
            <w:shd w:val="clear" w:color="auto" w:fill="CCEEFF"/>
          </w:tcPr>
          <w:p>
            <w:pPr>
              <w:spacing w:after="0"/>
              <w:rPr>
                <w:sz w:val="18"/>
                <w:szCs w:val="18"/>
                <w:color w:val="auto"/>
              </w:rPr>
            </w:pPr>
          </w:p>
        </w:tc>
      </w:tr>
      <w:tr>
        <w:trPr>
          <w:trHeight w:val="212"/>
        </w:trPr>
        <w:tc>
          <w:tcPr>
            <w:tcW w:w="4160" w:type="dxa"/>
            <w:vAlign w:val="bottom"/>
            <w:shd w:val="clear" w:color="auto" w:fill="CCEEFF"/>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Clifford Centre</w:t>
            </w:r>
          </w:p>
        </w:tc>
        <w:tc>
          <w:tcPr>
            <w:tcW w:w="3400" w:type="dxa"/>
            <w:vAlign w:val="bottom"/>
            <w:shd w:val="clear" w:color="auto" w:fill="CCEEFF"/>
          </w:tcPr>
          <w:p>
            <w:pPr>
              <w:spacing w:after="0"/>
              <w:rPr>
                <w:sz w:val="18"/>
                <w:szCs w:val="18"/>
                <w:color w:val="auto"/>
              </w:rPr>
            </w:pPr>
          </w:p>
        </w:tc>
      </w:tr>
      <w:tr>
        <w:trPr>
          <w:trHeight w:val="225"/>
        </w:trPr>
        <w:tc>
          <w:tcPr>
            <w:tcW w:w="4160" w:type="dxa"/>
            <w:vAlign w:val="bottom"/>
            <w:shd w:val="clear" w:color="auto" w:fill="CCEEFF"/>
          </w:tcPr>
          <w:p>
            <w:pPr>
              <w:spacing w:after="0"/>
              <w:rPr>
                <w:sz w:val="19"/>
                <w:szCs w:val="19"/>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Singapore 048621</w:t>
            </w:r>
          </w:p>
        </w:tc>
        <w:tc>
          <w:tcPr>
            <w:tcW w:w="3400" w:type="dxa"/>
            <w:vAlign w:val="bottom"/>
            <w:shd w:val="clear" w:color="auto" w:fill="CCEEFF"/>
          </w:tcPr>
          <w:p>
            <w:pPr>
              <w:spacing w:after="0"/>
              <w:rPr>
                <w:sz w:val="19"/>
                <w:szCs w:val="19"/>
                <w:color w:val="auto"/>
              </w:rPr>
            </w:pPr>
          </w:p>
        </w:tc>
      </w:tr>
      <w:tr>
        <w:trPr>
          <w:trHeight w:val="423"/>
        </w:trPr>
        <w:tc>
          <w:tcPr>
            <w:tcW w:w="4160" w:type="dxa"/>
            <w:vAlign w:val="bottom"/>
          </w:tcPr>
          <w:p>
            <w:pPr>
              <w:spacing w:after="0"/>
              <w:rPr>
                <w:sz w:val="20"/>
                <w:szCs w:val="20"/>
                <w:color w:val="auto"/>
              </w:rPr>
            </w:pPr>
            <w:r>
              <w:rPr>
                <w:rFonts w:ascii="Arial" w:cs="Arial" w:eastAsia="Arial" w:hAnsi="Arial"/>
                <w:sz w:val="18"/>
                <w:szCs w:val="18"/>
                <w:color w:val="auto"/>
              </w:rPr>
              <w:t>* held directly</w:t>
            </w:r>
          </w:p>
        </w:tc>
        <w:tc>
          <w:tcPr>
            <w:tcW w:w="3860" w:type="dxa"/>
            <w:vAlign w:val="bottom"/>
          </w:tcPr>
          <w:p>
            <w:pPr>
              <w:spacing w:after="0"/>
              <w:rPr>
                <w:sz w:val="24"/>
                <w:szCs w:val="24"/>
                <w:color w:val="auto"/>
              </w:rPr>
            </w:pPr>
          </w:p>
        </w:tc>
        <w:tc>
          <w:tcPr>
            <w:tcW w:w="3400" w:type="dxa"/>
            <w:vAlign w:val="bottom"/>
          </w:tcPr>
          <w:p>
            <w:pPr>
              <w:spacing w:after="0"/>
              <w:rPr>
                <w:sz w:val="24"/>
                <w:szCs w:val="24"/>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Approval of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approved these financial statements on 23 April 2013.</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Company Statement of Financial Position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at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140" w:type="dxa"/>
            <w:vAlign w:val="bottom"/>
          </w:tcPr>
          <w:p>
            <w:pPr>
              <w:jc w:val="center"/>
              <w:ind w:left="1952"/>
              <w:spacing w:after="0"/>
              <w:rPr>
                <w:sz w:val="20"/>
                <w:szCs w:val="20"/>
                <w:color w:val="auto"/>
              </w:rPr>
            </w:pPr>
            <w:r>
              <w:rPr>
                <w:rFonts w:ascii="Arial" w:cs="Arial" w:eastAsia="Arial" w:hAnsi="Arial"/>
                <w:sz w:val="18"/>
                <w:szCs w:val="18"/>
                <w:b w:val="1"/>
                <w:bCs w:val="1"/>
                <w:i w:val="1"/>
                <w:iCs w:val="1"/>
                <w:color w:val="auto"/>
                <w:w w:val="84"/>
              </w:rPr>
              <w:t>Note</w:t>
            </w:r>
          </w:p>
        </w:tc>
        <w:tc>
          <w:tcPr>
            <w:tcW w:w="1560" w:type="dxa"/>
            <w:vAlign w:val="bottom"/>
          </w:tcPr>
          <w:p>
            <w:pPr>
              <w:jc w:val="right"/>
              <w:ind w:right="112"/>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56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3140" w:type="dxa"/>
            <w:vAlign w:val="bottom"/>
          </w:tcPr>
          <w:p>
            <w:pPr>
              <w:spacing w:after="0"/>
              <w:rPr>
                <w:sz w:val="19"/>
                <w:szCs w:val="19"/>
                <w:color w:val="auto"/>
              </w:rPr>
            </w:pPr>
          </w:p>
        </w:tc>
        <w:tc>
          <w:tcPr>
            <w:tcW w:w="156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5"/>
        </w:trPr>
        <w:tc>
          <w:tcPr>
            <w:tcW w:w="5480" w:type="dxa"/>
            <w:vAlign w:val="bottom"/>
            <w:gridSpan w:val="2"/>
            <w:vMerge w:val="continue"/>
          </w:tcPr>
          <w:p>
            <w:pPr>
              <w:spacing w:after="0"/>
              <w:rPr>
                <w:sz w:val="16"/>
                <w:szCs w:val="16"/>
                <w:color w:val="auto"/>
              </w:rPr>
            </w:pPr>
          </w:p>
        </w:tc>
        <w:tc>
          <w:tcPr>
            <w:tcW w:w="3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3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140" w:type="dxa"/>
            <w:vAlign w:val="bottom"/>
            <w:shd w:val="clear" w:color="auto" w:fill="CCEEFF"/>
          </w:tcPr>
          <w:p>
            <w:pPr>
              <w:jc w:val="center"/>
              <w:ind w:left="1952"/>
              <w:spacing w:after="0"/>
              <w:rPr>
                <w:sz w:val="20"/>
                <w:szCs w:val="20"/>
                <w:color w:val="auto"/>
              </w:rPr>
            </w:pPr>
            <w:r>
              <w:rPr>
                <w:rFonts w:ascii="Arial" w:cs="Arial" w:eastAsia="Arial" w:hAnsi="Arial"/>
                <w:sz w:val="18"/>
                <w:szCs w:val="18"/>
                <w:i w:val="1"/>
                <w:iCs w:val="1"/>
                <w:color w:val="auto"/>
                <w:w w:val="99"/>
              </w:rPr>
              <w:t>1</w:t>
            </w:r>
          </w:p>
        </w:tc>
        <w:tc>
          <w:tcPr>
            <w:tcW w:w="156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1,136</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Intangible assets</w:t>
            </w:r>
          </w:p>
        </w:tc>
        <w:tc>
          <w:tcPr>
            <w:tcW w:w="3140" w:type="dxa"/>
            <w:vAlign w:val="bottom"/>
          </w:tcPr>
          <w:p>
            <w:pPr>
              <w:jc w:val="center"/>
              <w:ind w:left="1952"/>
              <w:spacing w:after="0"/>
              <w:rPr>
                <w:sz w:val="20"/>
                <w:szCs w:val="20"/>
                <w:color w:val="auto"/>
              </w:rPr>
            </w:pPr>
            <w:r>
              <w:rPr>
                <w:rFonts w:ascii="Arial" w:cs="Arial" w:eastAsia="Arial" w:hAnsi="Arial"/>
                <w:sz w:val="18"/>
                <w:szCs w:val="18"/>
                <w:i w:val="1"/>
                <w:iCs w:val="1"/>
                <w:color w:val="auto"/>
                <w:w w:val="99"/>
              </w:rPr>
              <w:t>2</w:t>
            </w:r>
          </w:p>
        </w:tc>
        <w:tc>
          <w:tcPr>
            <w:tcW w:w="1560" w:type="dxa"/>
            <w:vAlign w:val="bottom"/>
          </w:tcPr>
          <w:p>
            <w:pPr>
              <w:jc w:val="right"/>
              <w:ind w:right="112"/>
              <w:spacing w:after="0"/>
              <w:rPr>
                <w:sz w:val="20"/>
                <w:szCs w:val="20"/>
                <w:color w:val="auto"/>
              </w:rPr>
            </w:pPr>
            <w:r>
              <w:rPr>
                <w:rFonts w:ascii="Arial" w:cs="Arial" w:eastAsia="Arial" w:hAnsi="Arial"/>
                <w:sz w:val="18"/>
                <w:szCs w:val="18"/>
                <w:b w:val="1"/>
                <w:bCs w:val="1"/>
                <w:color w:val="auto"/>
              </w:rPr>
              <w:t>500</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140" w:type="dxa"/>
            <w:vAlign w:val="bottom"/>
            <w:shd w:val="clear" w:color="auto" w:fill="CCEEFF"/>
          </w:tcPr>
          <w:p>
            <w:pPr>
              <w:jc w:val="center"/>
              <w:ind w:left="1952"/>
              <w:spacing w:after="0"/>
              <w:rPr>
                <w:sz w:val="20"/>
                <w:szCs w:val="20"/>
                <w:color w:val="auto"/>
              </w:rPr>
            </w:pPr>
            <w:r>
              <w:rPr>
                <w:rFonts w:ascii="Arial" w:cs="Arial" w:eastAsia="Arial" w:hAnsi="Arial"/>
                <w:sz w:val="18"/>
                <w:szCs w:val="18"/>
                <w:i w:val="1"/>
                <w:iCs w:val="1"/>
                <w:color w:val="auto"/>
                <w:w w:val="99"/>
              </w:rPr>
              <w:t>3</w:t>
            </w:r>
          </w:p>
        </w:tc>
        <w:tc>
          <w:tcPr>
            <w:tcW w:w="156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362,983</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305,164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asset</w:t>
            </w:r>
          </w:p>
        </w:tc>
        <w:tc>
          <w:tcPr>
            <w:tcW w:w="3140" w:type="dxa"/>
            <w:vAlign w:val="bottom"/>
            <w:tcBorders>
              <w:bottom w:val="single" w:sz="8" w:color="auto"/>
            </w:tcBorders>
          </w:tcPr>
          <w:p>
            <w:pPr>
              <w:jc w:val="center"/>
              <w:ind w:left="1952"/>
              <w:spacing w:after="0"/>
              <w:rPr>
                <w:sz w:val="20"/>
                <w:szCs w:val="20"/>
                <w:color w:val="auto"/>
              </w:rPr>
            </w:pPr>
            <w:r>
              <w:rPr>
                <w:rFonts w:ascii="Arial" w:cs="Arial" w:eastAsia="Arial" w:hAnsi="Arial"/>
                <w:sz w:val="18"/>
                <w:szCs w:val="18"/>
                <w:i w:val="1"/>
                <w:iCs w:val="1"/>
                <w:color w:val="auto"/>
                <w:w w:val="99"/>
              </w:rPr>
              <w:t>4</w:t>
            </w: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396</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365,015</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307,992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 current assets</w:t>
            </w:r>
          </w:p>
        </w:tc>
        <w:tc>
          <w:tcPr>
            <w:tcW w:w="3140" w:type="dxa"/>
            <w:vAlign w:val="bottom"/>
          </w:tcPr>
          <w:p>
            <w:pPr>
              <w:jc w:val="center"/>
              <w:ind w:left="1952"/>
              <w:spacing w:after="0"/>
              <w:rPr>
                <w:sz w:val="20"/>
                <w:szCs w:val="20"/>
                <w:color w:val="auto"/>
              </w:rPr>
            </w:pPr>
            <w:r>
              <w:rPr>
                <w:rFonts w:ascii="Arial" w:cs="Arial" w:eastAsia="Arial" w:hAnsi="Arial"/>
                <w:sz w:val="18"/>
                <w:szCs w:val="18"/>
                <w:i w:val="1"/>
                <w:iCs w:val="1"/>
                <w:color w:val="auto"/>
                <w:w w:val="99"/>
              </w:rPr>
              <w:t>5</w:t>
            </w:r>
          </w:p>
        </w:tc>
        <w:tc>
          <w:tcPr>
            <w:tcW w:w="1560" w:type="dxa"/>
            <w:vAlign w:val="bottom"/>
          </w:tcPr>
          <w:p>
            <w:pPr>
              <w:jc w:val="right"/>
              <w:ind w:right="112"/>
              <w:spacing w:after="0"/>
              <w:rPr>
                <w:sz w:val="20"/>
                <w:szCs w:val="20"/>
                <w:color w:val="auto"/>
              </w:rPr>
            </w:pPr>
            <w:r>
              <w:rPr>
                <w:rFonts w:ascii="Arial" w:cs="Arial" w:eastAsia="Arial" w:hAnsi="Arial"/>
                <w:sz w:val="18"/>
                <w:szCs w:val="18"/>
                <w:b w:val="1"/>
                <w:bCs w:val="1"/>
                <w:color w:val="auto"/>
              </w:rPr>
              <w:t>3,218</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subsidiary undertakings</w:t>
            </w:r>
          </w:p>
        </w:tc>
        <w:tc>
          <w:tcPr>
            <w:tcW w:w="3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52,329</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82,529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Current taxes receivable</w:t>
            </w:r>
          </w:p>
        </w:tc>
        <w:tc>
          <w:tcPr>
            <w:tcW w:w="3140" w:type="dxa"/>
            <w:vAlign w:val="bottom"/>
          </w:tcPr>
          <w:p>
            <w:pPr>
              <w:spacing w:after="0"/>
              <w:rPr>
                <w:sz w:val="18"/>
                <w:szCs w:val="18"/>
                <w:color w:val="auto"/>
              </w:rPr>
            </w:pPr>
          </w:p>
        </w:tc>
        <w:tc>
          <w:tcPr>
            <w:tcW w:w="156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1,058</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current assets</w:t>
            </w:r>
          </w:p>
        </w:tc>
        <w:tc>
          <w:tcPr>
            <w:tcW w:w="3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56,605</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89,837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19"/>
                <w:szCs w:val="19"/>
                <w:color w:val="auto"/>
              </w:rPr>
            </w:pPr>
          </w:p>
        </w:tc>
        <w:tc>
          <w:tcPr>
            <w:tcW w:w="3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421,620</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397,829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3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5,067</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Share premium</w:t>
            </w:r>
          </w:p>
        </w:tc>
        <w:tc>
          <w:tcPr>
            <w:tcW w:w="3140" w:type="dxa"/>
            <w:vAlign w:val="bottom"/>
          </w:tcPr>
          <w:p>
            <w:pPr>
              <w:spacing w:after="0"/>
              <w:rPr>
                <w:sz w:val="18"/>
                <w:szCs w:val="18"/>
                <w:color w:val="auto"/>
              </w:rPr>
            </w:pPr>
          </w:p>
        </w:tc>
        <w:tc>
          <w:tcPr>
            <w:tcW w:w="1560" w:type="dxa"/>
            <w:vAlign w:val="bottom"/>
          </w:tcPr>
          <w:p>
            <w:pPr>
              <w:jc w:val="right"/>
              <w:ind w:right="112"/>
              <w:spacing w:after="0"/>
              <w:rPr>
                <w:sz w:val="20"/>
                <w:szCs w:val="20"/>
                <w:color w:val="auto"/>
              </w:rPr>
            </w:pPr>
            <w:r>
              <w:rPr>
                <w:rFonts w:ascii="Arial" w:cs="Arial" w:eastAsia="Arial" w:hAnsi="Arial"/>
                <w:sz w:val="18"/>
                <w:szCs w:val="18"/>
                <w:b w:val="1"/>
                <w:bCs w:val="1"/>
                <w:color w:val="auto"/>
              </w:rPr>
              <w:t>172,963</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160,090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Capital redemption reserve</w:t>
            </w:r>
          </w:p>
        </w:tc>
        <w:tc>
          <w:tcPr>
            <w:tcW w:w="3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100</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Share based payment reserve</w:t>
            </w:r>
          </w:p>
        </w:tc>
        <w:tc>
          <w:tcPr>
            <w:tcW w:w="3140" w:type="dxa"/>
            <w:vAlign w:val="bottom"/>
          </w:tcPr>
          <w:p>
            <w:pPr>
              <w:spacing w:after="0"/>
              <w:rPr>
                <w:sz w:val="18"/>
                <w:szCs w:val="18"/>
                <w:color w:val="auto"/>
              </w:rPr>
            </w:pPr>
          </w:p>
        </w:tc>
        <w:tc>
          <w:tcPr>
            <w:tcW w:w="1560" w:type="dxa"/>
            <w:vAlign w:val="bottom"/>
          </w:tcPr>
          <w:p>
            <w:pPr>
              <w:jc w:val="right"/>
              <w:ind w:right="112"/>
              <w:spacing w:after="0"/>
              <w:rPr>
                <w:sz w:val="20"/>
                <w:szCs w:val="20"/>
                <w:color w:val="auto"/>
              </w:rPr>
            </w:pPr>
            <w:r>
              <w:rPr>
                <w:rFonts w:ascii="Arial" w:cs="Arial" w:eastAsia="Arial" w:hAnsi="Arial"/>
                <w:sz w:val="18"/>
                <w:szCs w:val="18"/>
                <w:b w:val="1"/>
                <w:bCs w:val="1"/>
                <w:color w:val="auto"/>
              </w:rPr>
              <w:t>42,527</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38,170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3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6,071</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Functional currency translation reserve</w:t>
            </w:r>
          </w:p>
        </w:tc>
        <w:tc>
          <w:tcPr>
            <w:tcW w:w="3140" w:type="dxa"/>
            <w:vAlign w:val="bottom"/>
          </w:tcPr>
          <w:p>
            <w:pPr>
              <w:spacing w:after="0"/>
              <w:rPr>
                <w:sz w:val="18"/>
                <w:szCs w:val="18"/>
                <w:color w:val="auto"/>
              </w:rPr>
            </w:pPr>
          </w:p>
        </w:tc>
        <w:tc>
          <w:tcPr>
            <w:tcW w:w="1560" w:type="dxa"/>
            <w:vAlign w:val="bottom"/>
          </w:tcPr>
          <w:p>
            <w:pPr>
              <w:jc w:val="right"/>
              <w:ind w:right="112"/>
              <w:spacing w:after="0"/>
              <w:rPr>
                <w:sz w:val="20"/>
                <w:szCs w:val="20"/>
                <w:color w:val="auto"/>
              </w:rPr>
            </w:pPr>
            <w:r>
              <w:rPr>
                <w:rFonts w:ascii="Arial" w:cs="Arial" w:eastAsia="Arial" w:hAnsi="Arial"/>
                <w:sz w:val="18"/>
                <w:szCs w:val="18"/>
                <w:b w:val="1"/>
                <w:bCs w:val="1"/>
                <w:color w:val="auto"/>
              </w:rPr>
              <w:t>3,306</w:t>
            </w:r>
          </w:p>
        </w:tc>
        <w:tc>
          <w:tcPr>
            <w:tcW w:w="1240" w:type="dxa"/>
            <w:vAlign w:val="bottom"/>
          </w:tcPr>
          <w:p>
            <w:pPr>
              <w:jc w:val="right"/>
              <w:spacing w:after="0"/>
              <w:rPr>
                <w:sz w:val="20"/>
                <w:szCs w:val="20"/>
                <w:color w:val="auto"/>
              </w:rPr>
            </w:pPr>
            <w:r>
              <w:rPr>
                <w:rFonts w:ascii="Arial" w:cs="Arial" w:eastAsia="Arial" w:hAnsi="Arial"/>
                <w:sz w:val="18"/>
                <w:szCs w:val="18"/>
                <w:color w:val="auto"/>
              </w:rPr>
              <w:t>(7,738)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177,558</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186,461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Attributable to equity holders</w:t>
            </w:r>
          </w:p>
        </w:tc>
        <w:tc>
          <w:tcPr>
            <w:tcW w:w="3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407,592</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388,153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19"/>
                <w:szCs w:val="19"/>
                <w:color w:val="auto"/>
              </w:rPr>
            </w:pPr>
          </w:p>
        </w:tc>
        <w:tc>
          <w:tcPr>
            <w:tcW w:w="3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equity</w:t>
            </w:r>
          </w:p>
        </w:tc>
        <w:tc>
          <w:tcPr>
            <w:tcW w:w="3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407,592</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388,153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other liabilities</w:t>
            </w:r>
          </w:p>
        </w:tc>
        <w:tc>
          <w:tcPr>
            <w:tcW w:w="3140" w:type="dxa"/>
            <w:vAlign w:val="bottom"/>
            <w:tcBorders>
              <w:bottom w:val="single" w:sz="8" w:color="auto"/>
            </w:tcBorders>
          </w:tcPr>
          <w:p>
            <w:pPr>
              <w:jc w:val="center"/>
              <w:ind w:left="1952"/>
              <w:spacing w:after="0"/>
              <w:rPr>
                <w:sz w:val="20"/>
                <w:szCs w:val="20"/>
                <w:color w:val="auto"/>
              </w:rPr>
            </w:pPr>
            <w:r>
              <w:rPr>
                <w:rFonts w:ascii="Arial" w:cs="Arial" w:eastAsia="Arial" w:hAnsi="Arial"/>
                <w:sz w:val="18"/>
                <w:szCs w:val="18"/>
                <w:i w:val="1"/>
                <w:iCs w:val="1"/>
                <w:color w:val="auto"/>
                <w:w w:val="99"/>
              </w:rPr>
              <w:t>6</w:t>
            </w: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4,967</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4,967</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Accounts payable</w:t>
            </w:r>
          </w:p>
        </w:tc>
        <w:tc>
          <w:tcPr>
            <w:tcW w:w="3140" w:type="dxa"/>
            <w:vAlign w:val="bottom"/>
          </w:tcPr>
          <w:p>
            <w:pPr>
              <w:spacing w:after="0"/>
              <w:rPr>
                <w:sz w:val="18"/>
                <w:szCs w:val="18"/>
                <w:color w:val="auto"/>
              </w:rPr>
            </w:pPr>
          </w:p>
        </w:tc>
        <w:tc>
          <w:tcPr>
            <w:tcW w:w="1560" w:type="dxa"/>
            <w:vAlign w:val="bottom"/>
          </w:tcPr>
          <w:p>
            <w:pPr>
              <w:jc w:val="right"/>
              <w:ind w:right="112"/>
              <w:spacing w:after="0"/>
              <w:rPr>
                <w:sz w:val="20"/>
                <w:szCs w:val="20"/>
                <w:color w:val="auto"/>
              </w:rPr>
            </w:pPr>
            <w:r>
              <w:rPr>
                <w:rFonts w:ascii="Arial" w:cs="Arial" w:eastAsia="Arial" w:hAnsi="Arial"/>
                <w:sz w:val="18"/>
                <w:szCs w:val="18"/>
                <w:b w:val="1"/>
                <w:bCs w:val="1"/>
                <w:color w:val="auto"/>
              </w:rPr>
              <w:t>454</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liabilities</w:t>
            </w:r>
          </w:p>
        </w:tc>
        <w:tc>
          <w:tcPr>
            <w:tcW w:w="3140" w:type="dxa"/>
            <w:vAlign w:val="bottom"/>
            <w:shd w:val="clear" w:color="auto" w:fill="CCEEFF"/>
          </w:tcPr>
          <w:p>
            <w:pPr>
              <w:jc w:val="center"/>
              <w:ind w:left="1952"/>
              <w:spacing w:after="0"/>
              <w:rPr>
                <w:sz w:val="20"/>
                <w:szCs w:val="20"/>
                <w:color w:val="auto"/>
              </w:rPr>
            </w:pPr>
            <w:r>
              <w:rPr>
                <w:rFonts w:ascii="Arial" w:cs="Arial" w:eastAsia="Arial" w:hAnsi="Arial"/>
                <w:sz w:val="18"/>
                <w:szCs w:val="18"/>
                <w:i w:val="1"/>
                <w:iCs w:val="1"/>
                <w:color w:val="auto"/>
                <w:w w:val="99"/>
              </w:rPr>
              <w:t>6</w:t>
            </w:r>
          </w:p>
        </w:tc>
        <w:tc>
          <w:tcPr>
            <w:tcW w:w="156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8,185</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taxes payable</w:t>
            </w:r>
          </w:p>
        </w:tc>
        <w:tc>
          <w:tcPr>
            <w:tcW w:w="3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422</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9,061</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9,676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14,028</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9,676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3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421,620</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397,829</w:t>
            </w: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60" w:type="dxa"/>
            <w:vAlign w:val="bottom"/>
          </w:tcPr>
          <w:p>
            <w:pPr>
              <w:spacing w:after="0"/>
              <w:rPr>
                <w:sz w:val="20"/>
                <w:szCs w:val="20"/>
                <w:color w:val="auto"/>
              </w:rPr>
            </w:pPr>
            <w:r>
              <w:rPr>
                <w:rFonts w:ascii="Arial" w:cs="Arial" w:eastAsia="Arial" w:hAnsi="Arial"/>
                <w:sz w:val="18"/>
                <w:szCs w:val="18"/>
                <w:b w:val="1"/>
                <w:bCs w:val="1"/>
                <w:color w:val="auto"/>
              </w:rPr>
              <w:t>On behalf of the Board</w:t>
            </w:r>
          </w:p>
        </w:tc>
        <w:tc>
          <w:tcPr>
            <w:tcW w:w="7760" w:type="dxa"/>
            <w:vAlign w:val="bottom"/>
          </w:tcPr>
          <w:p>
            <w:pPr>
              <w:spacing w:after="0"/>
              <w:rPr>
                <w:sz w:val="19"/>
                <w:szCs w:val="19"/>
                <w:color w:val="auto"/>
              </w:rPr>
            </w:pPr>
          </w:p>
        </w:tc>
      </w:tr>
      <w:tr>
        <w:trPr>
          <w:trHeight w:val="439"/>
        </w:trPr>
        <w:tc>
          <w:tcPr>
            <w:tcW w:w="3660" w:type="dxa"/>
            <w:vAlign w:val="bottom"/>
          </w:tcPr>
          <w:p>
            <w:pPr>
              <w:spacing w:after="0"/>
              <w:rPr>
                <w:sz w:val="20"/>
                <w:szCs w:val="20"/>
                <w:color w:val="auto"/>
              </w:rPr>
            </w:pPr>
            <w:r>
              <w:rPr>
                <w:rFonts w:ascii="Arial" w:cs="Arial" w:eastAsia="Arial" w:hAnsi="Arial"/>
                <w:sz w:val="18"/>
                <w:szCs w:val="18"/>
                <w:color w:val="auto"/>
              </w:rPr>
              <w:t>Declan McKeon</w:t>
            </w:r>
          </w:p>
        </w:tc>
        <w:tc>
          <w:tcPr>
            <w:tcW w:w="7760" w:type="dxa"/>
            <w:vAlign w:val="bottom"/>
          </w:tcPr>
          <w:p>
            <w:pPr>
              <w:ind w:left="2060"/>
              <w:spacing w:after="0"/>
              <w:rPr>
                <w:sz w:val="20"/>
                <w:szCs w:val="20"/>
                <w:color w:val="auto"/>
              </w:rPr>
            </w:pPr>
            <w:r>
              <w:rPr>
                <w:rFonts w:ascii="Arial" w:cs="Arial" w:eastAsia="Arial" w:hAnsi="Arial"/>
                <w:sz w:val="18"/>
                <w:szCs w:val="18"/>
                <w:color w:val="auto"/>
              </w:rPr>
              <w:t>Ciaran Murray</w:t>
            </w:r>
          </w:p>
        </w:tc>
      </w:tr>
      <w:tr>
        <w:trPr>
          <w:trHeight w:val="223"/>
        </w:trPr>
        <w:tc>
          <w:tcPr>
            <w:tcW w:w="36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7760" w:type="dxa"/>
            <w:vAlign w:val="bottom"/>
          </w:tcPr>
          <w:p>
            <w:pPr>
              <w:ind w:left="2060"/>
              <w:spacing w:after="0"/>
              <w:rPr>
                <w:sz w:val="20"/>
                <w:szCs w:val="20"/>
                <w:color w:val="auto"/>
              </w:rPr>
            </w:pPr>
            <w:r>
              <w:rPr>
                <w:rFonts w:ascii="Arial" w:cs="Arial" w:eastAsia="Arial" w:hAnsi="Arial"/>
                <w:sz w:val="18"/>
                <w:szCs w:val="18"/>
                <w:i w:val="1"/>
                <w:iCs w:val="1"/>
                <w:color w:val="auto"/>
              </w:rPr>
              <w:t>Director</w:t>
            </w:r>
          </w:p>
        </w:tc>
      </w:tr>
      <w:tr>
        <w:trPr>
          <w:trHeight w:val="689"/>
        </w:trPr>
        <w:tc>
          <w:tcPr>
            <w:tcW w:w="3660" w:type="dxa"/>
            <w:vAlign w:val="bottom"/>
          </w:tcPr>
          <w:p>
            <w:pPr>
              <w:spacing w:after="0"/>
              <w:rPr>
                <w:sz w:val="24"/>
                <w:szCs w:val="24"/>
                <w:color w:val="auto"/>
              </w:rPr>
            </w:pPr>
          </w:p>
        </w:tc>
        <w:tc>
          <w:tcPr>
            <w:tcW w:w="7760" w:type="dxa"/>
            <w:vAlign w:val="bottom"/>
          </w:tcPr>
          <w:p>
            <w:pPr>
              <w:jc w:val="right"/>
              <w:ind w:right="5492"/>
              <w:spacing w:after="0"/>
              <w:rPr>
                <w:sz w:val="20"/>
                <w:szCs w:val="20"/>
                <w:color w:val="auto"/>
              </w:rPr>
            </w:pPr>
            <w:r>
              <w:rPr>
                <w:rFonts w:ascii="Arial" w:cs="Arial" w:eastAsia="Arial" w:hAnsi="Arial"/>
                <w:sz w:val="18"/>
                <w:szCs w:val="18"/>
                <w:color w:val="auto"/>
              </w:rPr>
              <w:t>102</w:t>
            </w:r>
          </w:p>
        </w:tc>
      </w:tr>
      <w:tr>
        <w:trPr>
          <w:trHeight w:val="117"/>
        </w:trPr>
        <w:tc>
          <w:tcPr>
            <w:tcW w:w="3660" w:type="dxa"/>
            <w:vAlign w:val="bottom"/>
            <w:tcBorders>
              <w:bottom w:val="single" w:sz="8" w:color="808080"/>
            </w:tcBorders>
          </w:tcPr>
          <w:p>
            <w:pPr>
              <w:spacing w:after="0"/>
              <w:rPr>
                <w:sz w:val="10"/>
                <w:szCs w:val="10"/>
                <w:color w:val="auto"/>
              </w:rPr>
            </w:pPr>
          </w:p>
        </w:tc>
        <w:tc>
          <w:tcPr>
            <w:tcW w:w="77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Company Statement of Changes in Equity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Share</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Capital</w:t>
            </w: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Based</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0" w:type="dxa"/>
            <w:vAlign w:val="bottom"/>
          </w:tcPr>
          <w:p>
            <w:pPr>
              <w:jc w:val="right"/>
              <w:ind w:right="92"/>
              <w:spacing w:after="0"/>
              <w:rPr>
                <w:sz w:val="20"/>
                <w:szCs w:val="20"/>
                <w:color w:val="auto"/>
              </w:rPr>
            </w:pPr>
            <w:r>
              <w:rPr>
                <w:rFonts w:ascii="Arial" w:cs="Arial" w:eastAsia="Arial" w:hAnsi="Arial"/>
                <w:sz w:val="18"/>
                <w:szCs w:val="18"/>
                <w:b w:val="1"/>
                <w:bCs w:val="1"/>
                <w:color w:val="auto"/>
              </w:rPr>
              <w:t>Number</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Share</w:t>
            </w: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Share</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w w:val="94"/>
              </w:rPr>
              <w:t>Redemption</w:t>
            </w: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Payment</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Other</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Currency</w:t>
            </w: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w w:val="99"/>
              </w:rPr>
              <w:t>Retained</w:t>
            </w: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0" w:type="dxa"/>
            <w:vAlign w:val="bottom"/>
          </w:tcPr>
          <w:p>
            <w:pPr>
              <w:jc w:val="right"/>
              <w:ind w:right="92"/>
              <w:spacing w:after="0"/>
              <w:rPr>
                <w:sz w:val="20"/>
                <w:szCs w:val="20"/>
                <w:color w:val="auto"/>
              </w:rPr>
            </w:pPr>
            <w:r>
              <w:rPr>
                <w:rFonts w:ascii="Arial" w:cs="Arial" w:eastAsia="Arial" w:hAnsi="Arial"/>
                <w:sz w:val="18"/>
                <w:szCs w:val="18"/>
                <w:b w:val="1"/>
                <w:bCs w:val="1"/>
                <w:color w:val="auto"/>
              </w:rPr>
              <w:t>of shares</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Capital</w:t>
            </w: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w w:val="98"/>
              </w:rPr>
              <w:t>Premium</w:t>
            </w: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Reserve</w:t>
            </w: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Reserve</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w w:val="89"/>
              </w:rPr>
              <w:t>Reserves</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Reserve</w:t>
            </w: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w w:val="98"/>
              </w:rPr>
              <w:t>Earnings</w:t>
            </w: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$’000</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$’000</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$’000</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$’000</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1 January 2012</w:t>
            </w:r>
          </w:p>
        </w:tc>
        <w:tc>
          <w:tcPr>
            <w:tcW w:w="16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60,135,603</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5,055</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160,090</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38,170</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6,071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(7,738)</w:t>
            </w:r>
          </w:p>
        </w:tc>
        <w:tc>
          <w:tcPr>
            <w:tcW w:w="9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186,461</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388,153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Total comprehensive income for the</w:t>
            </w: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1,034</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b w:val="1"/>
                <w:bCs w:val="1"/>
                <w:color w:val="auto"/>
                <w:w w:val="95"/>
              </w:rPr>
              <w:t>Other comprehensive income</w:t>
            </w: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6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11,044</w:t>
            </w:r>
          </w:p>
        </w:tc>
        <w:tc>
          <w:tcPr>
            <w:tcW w:w="9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11,044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Total other comprehensive income</w:t>
            </w:r>
          </w:p>
        </w:tc>
        <w:tc>
          <w:tcPr>
            <w:tcW w:w="16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11,044</w:t>
            </w:r>
          </w:p>
        </w:tc>
        <w:tc>
          <w:tcPr>
            <w:tcW w:w="9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11,044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4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0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Total comprehensive income for the</w:t>
            </w: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year</w:t>
            </w:r>
          </w:p>
        </w:tc>
        <w:tc>
          <w:tcPr>
            <w:tcW w:w="16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11,044</w:t>
            </w:r>
          </w:p>
        </w:tc>
        <w:tc>
          <w:tcPr>
            <w:tcW w:w="9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1,034</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12,078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Transactions with owners, recorded</w:t>
            </w: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directly in equity</w:t>
            </w:r>
          </w:p>
        </w:tc>
        <w:tc>
          <w:tcPr>
            <w:tcW w:w="1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10,217</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890,236</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68</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12,947</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13,015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Share issue costs</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98"/>
              </w:rPr>
              <w:t>Repurchase of ordinary shares</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(738,341)</w:t>
            </w: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(15,607)</w:t>
            </w:r>
          </w:p>
        </w:tc>
        <w:tc>
          <w:tcPr>
            <w:tcW w:w="820" w:type="dxa"/>
            <w:vAlign w:val="bottom"/>
          </w:tcPr>
          <w:p>
            <w:pPr>
              <w:jc w:val="right"/>
              <w:spacing w:after="0"/>
              <w:rPr>
                <w:sz w:val="20"/>
                <w:szCs w:val="20"/>
                <w:color w:val="auto"/>
              </w:rPr>
            </w:pPr>
            <w:r>
              <w:rPr>
                <w:rFonts w:ascii="Arial" w:cs="Arial" w:eastAsia="Arial" w:hAnsi="Arial"/>
                <w:sz w:val="18"/>
                <w:szCs w:val="18"/>
                <w:color w:val="auto"/>
              </w:rPr>
              <w:t>(15,607)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 costs</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40" w:type="dxa"/>
            <w:vAlign w:val="bottom"/>
          </w:tcPr>
          <w:p>
            <w:pPr>
              <w:spacing w:after="0" w:line="200" w:lineRule="exact"/>
              <w:rPr>
                <w:sz w:val="20"/>
                <w:szCs w:val="20"/>
                <w:color w:val="auto"/>
              </w:rPr>
            </w:pPr>
            <w:r>
              <w:rPr>
                <w:rFonts w:ascii="Arial" w:cs="Arial" w:eastAsia="Arial" w:hAnsi="Arial"/>
                <w:sz w:val="18"/>
                <w:szCs w:val="18"/>
                <w:color w:val="auto"/>
                <w:w w:val="90"/>
              </w:rPr>
              <w:t>Transfer of exercised and expired</w:t>
            </w:r>
          </w:p>
        </w:tc>
        <w:tc>
          <w:tcPr>
            <w:tcW w:w="1600" w:type="dxa"/>
            <w:vAlign w:val="bottom"/>
          </w:tcPr>
          <w:p>
            <w:pPr>
              <w:jc w:val="right"/>
              <w:ind w:right="1132"/>
              <w:spacing w:after="0" w:line="200" w:lineRule="exact"/>
              <w:rPr>
                <w:sz w:val="20"/>
                <w:szCs w:val="20"/>
                <w:color w:val="auto"/>
              </w:rPr>
            </w:pPr>
            <w:r>
              <w:rPr>
                <w:rFonts w:ascii="Arial" w:cs="Arial" w:eastAsia="Arial" w:hAnsi="Arial"/>
                <w:sz w:val="18"/>
                <w:szCs w:val="18"/>
                <w:color w:val="auto"/>
                <w:w w:val="79"/>
              </w:rPr>
              <w:t>share</w:t>
            </w: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460" w:type="dxa"/>
            <w:vAlign w:val="bottom"/>
            <w:gridSpan w:val="2"/>
          </w:tcPr>
          <w:p>
            <w:pPr>
              <w:spacing w:after="0"/>
              <w:rPr>
                <w:sz w:val="20"/>
                <w:szCs w:val="20"/>
                <w:color w:val="auto"/>
              </w:rPr>
            </w:pPr>
            <w:r>
              <w:rPr>
                <w:rFonts w:ascii="Arial" w:cs="Arial" w:eastAsia="Arial" w:hAnsi="Arial"/>
                <w:sz w:val="18"/>
                <w:szCs w:val="18"/>
                <w:color w:val="auto"/>
              </w:rPr>
              <w:t>based awards</w:t>
            </w: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(5,860)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5,860</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0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Total contributions by and distributions</w:t>
            </w: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 owners</w:t>
            </w:r>
          </w:p>
        </w:tc>
        <w:tc>
          <w:tcPr>
            <w:tcW w:w="16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151,895</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12,873</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4,357</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(9,937)</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7,361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Total transactions with owners</w:t>
            </w:r>
          </w:p>
        </w:tc>
        <w:tc>
          <w:tcPr>
            <w:tcW w:w="16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151,895</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12,873</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4,357</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(9,937)</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7,361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5"/>
              </w:rPr>
              <w:t>Balance at 31 December 2012</w:t>
            </w:r>
          </w:p>
        </w:tc>
        <w:tc>
          <w:tcPr>
            <w:tcW w:w="16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60,287,498</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5,067</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172,963</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100</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42,527</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6,071</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3,306</w:t>
            </w:r>
          </w:p>
        </w:tc>
        <w:tc>
          <w:tcPr>
            <w:tcW w:w="9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177,558</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407,592</w:t>
            </w:r>
          </w:p>
        </w:tc>
        <w:tc>
          <w:tcPr>
            <w:tcW w:w="0" w:type="dxa"/>
            <w:vAlign w:val="bottom"/>
          </w:tcPr>
          <w:p>
            <w:pPr>
              <w:spacing w:after="0"/>
              <w:rPr>
                <w:sz w:val="1"/>
                <w:szCs w:val="1"/>
                <w:color w:val="auto"/>
              </w:rPr>
            </w:pPr>
          </w:p>
        </w:tc>
      </w:tr>
    </w:tbl>
    <w:p>
      <w:pPr>
        <w:jc w:val="both"/>
        <w:spacing w:after="0" w:line="250" w:lineRule="auto"/>
        <w:rPr>
          <w:sz w:val="20"/>
          <w:szCs w:val="20"/>
          <w:color w:val="auto"/>
        </w:rPr>
      </w:pPr>
      <w:r>
        <w:rPr>
          <w:rFonts w:ascii="Arial" w:cs="Arial" w:eastAsia="Arial" w:hAnsi="Arial"/>
          <w:sz w:val="18"/>
          <w:szCs w:val="18"/>
          <w:i w:val="1"/>
          <w:iCs w:val="1"/>
          <w:color w:val="auto"/>
        </w:rPr>
        <w:t>As permitted by section 148(8) of the Companies Act 1963, the Company has not presented a Company income statement. The profit for the 2012 financial year retained by the Company amounted to $1,034,000 (2011: profit $68,418,000).</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Company Statement of Changes in Equity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Share</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Capital</w:t>
            </w: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Based</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0" w:type="dxa"/>
            <w:vAlign w:val="bottom"/>
          </w:tcPr>
          <w:p>
            <w:pPr>
              <w:jc w:val="right"/>
              <w:ind w:right="92"/>
              <w:spacing w:after="0"/>
              <w:rPr>
                <w:sz w:val="20"/>
                <w:szCs w:val="20"/>
                <w:color w:val="auto"/>
              </w:rPr>
            </w:pPr>
            <w:r>
              <w:rPr>
                <w:rFonts w:ascii="Arial" w:cs="Arial" w:eastAsia="Arial" w:hAnsi="Arial"/>
                <w:sz w:val="18"/>
                <w:szCs w:val="18"/>
                <w:b w:val="1"/>
                <w:bCs w:val="1"/>
                <w:color w:val="auto"/>
              </w:rPr>
              <w:t>Number</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Share</w:t>
            </w: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Share</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w w:val="94"/>
              </w:rPr>
              <w:t>Redemption</w:t>
            </w: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Payment</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Other</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Currency</w:t>
            </w: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w w:val="99"/>
              </w:rPr>
              <w:t>Retained</w:t>
            </w: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0" w:type="dxa"/>
            <w:vAlign w:val="bottom"/>
          </w:tcPr>
          <w:p>
            <w:pPr>
              <w:jc w:val="right"/>
              <w:ind w:right="92"/>
              <w:spacing w:after="0"/>
              <w:rPr>
                <w:sz w:val="20"/>
                <w:szCs w:val="20"/>
                <w:color w:val="auto"/>
              </w:rPr>
            </w:pPr>
            <w:r>
              <w:rPr>
                <w:rFonts w:ascii="Arial" w:cs="Arial" w:eastAsia="Arial" w:hAnsi="Arial"/>
                <w:sz w:val="18"/>
                <w:szCs w:val="18"/>
                <w:b w:val="1"/>
                <w:bCs w:val="1"/>
                <w:color w:val="auto"/>
              </w:rPr>
              <w:t>of shares</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Capital</w:t>
            </w: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w w:val="98"/>
              </w:rPr>
              <w:t>Premium</w:t>
            </w: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Reserve</w:t>
            </w: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Reserve</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w w:val="89"/>
              </w:rPr>
              <w:t>Reserves</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Reserve</w:t>
            </w: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w w:val="98"/>
              </w:rPr>
              <w:t>Earnings</w:t>
            </w: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$’000</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$’000</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$’000</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$’000</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$’000</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1 January 2011</w:t>
            </w:r>
          </w:p>
        </w:tc>
        <w:tc>
          <w:tcPr>
            <w:tcW w:w="16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60,247,092</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5,063</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155,537</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30,900</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6,071</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13,997</w:t>
            </w:r>
          </w:p>
        </w:tc>
        <w:tc>
          <w:tcPr>
            <w:tcW w:w="9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124,867</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336,435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Total comprehensive income for the</w:t>
            </w: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68,418</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68,418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b w:val="1"/>
                <w:bCs w:val="1"/>
                <w:color w:val="auto"/>
                <w:w w:val="95"/>
              </w:rPr>
              <w:t>Other comprehensive income</w:t>
            </w: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6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(21,735)</w:t>
            </w:r>
          </w:p>
        </w:tc>
        <w:tc>
          <w:tcPr>
            <w:tcW w:w="9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(21,735)</w:t>
            </w:r>
          </w:p>
        </w:tc>
        <w:tc>
          <w:tcPr>
            <w:tcW w:w="0" w:type="dxa"/>
            <w:vAlign w:val="bottom"/>
          </w:tcPr>
          <w:p>
            <w:pPr>
              <w:spacing w:after="0"/>
              <w:rPr>
                <w:sz w:val="1"/>
                <w:szCs w:val="1"/>
                <w:color w:val="auto"/>
              </w:rPr>
            </w:pPr>
          </w:p>
        </w:tc>
      </w:tr>
      <w:tr>
        <w:trPr>
          <w:trHeight w:val="431"/>
        </w:trPr>
        <w:tc>
          <w:tcPr>
            <w:tcW w:w="2460" w:type="dxa"/>
            <w:vAlign w:val="bottom"/>
            <w:gridSpan w:val="2"/>
          </w:tcPr>
          <w:p>
            <w:pPr>
              <w:spacing w:after="0"/>
              <w:rPr>
                <w:sz w:val="20"/>
                <w:szCs w:val="20"/>
                <w:color w:val="auto"/>
              </w:rPr>
            </w:pPr>
            <w:r>
              <w:rPr>
                <w:rFonts w:ascii="Arial" w:cs="Arial" w:eastAsia="Arial" w:hAnsi="Arial"/>
                <w:sz w:val="18"/>
                <w:szCs w:val="18"/>
                <w:color w:val="auto"/>
                <w:w w:val="88"/>
              </w:rPr>
              <w:t>Total other comprehensive income</w:t>
            </w: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(21,735)</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(21,735)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0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Total comprehensive income for the</w:t>
            </w: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year</w:t>
            </w:r>
          </w:p>
        </w:tc>
        <w:tc>
          <w:tcPr>
            <w:tcW w:w="16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(21,735)</w:t>
            </w:r>
          </w:p>
        </w:tc>
        <w:tc>
          <w:tcPr>
            <w:tcW w:w="9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68,418</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46,683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Transactions with owners, recorded</w:t>
            </w: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directly in equity</w:t>
            </w:r>
          </w:p>
        </w:tc>
        <w:tc>
          <w:tcPr>
            <w:tcW w:w="1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9,564</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430,340</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36</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4,629</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4,665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Issue of shares arising from issue of</w:t>
            </w: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1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share units</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3,768</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Share issue costs</w:t>
            </w: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w w:val="98"/>
              </w:rPr>
              <w:t>Repurchase of ordinary shares</w:t>
            </w:r>
          </w:p>
        </w:tc>
        <w:tc>
          <w:tcPr>
            <w:tcW w:w="1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(545,597)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Share repurchase costs</w:t>
            </w: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(113)</w:t>
            </w:r>
          </w:p>
        </w:tc>
        <w:tc>
          <w:tcPr>
            <w:tcW w:w="82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0"/>
              </w:rPr>
              <w:t>Transfer of exercised and expired</w:t>
            </w:r>
          </w:p>
        </w:tc>
        <w:tc>
          <w:tcPr>
            <w:tcW w:w="1600" w:type="dxa"/>
            <w:vAlign w:val="bottom"/>
            <w:shd w:val="clear" w:color="auto" w:fill="CCEEFF"/>
          </w:tcPr>
          <w:p>
            <w:pPr>
              <w:jc w:val="right"/>
              <w:ind w:right="1132"/>
              <w:spacing w:after="0" w:line="200" w:lineRule="exact"/>
              <w:rPr>
                <w:sz w:val="20"/>
                <w:szCs w:val="20"/>
                <w:color w:val="auto"/>
              </w:rPr>
            </w:pPr>
            <w:r>
              <w:rPr>
                <w:rFonts w:ascii="Arial" w:cs="Arial" w:eastAsia="Arial" w:hAnsi="Arial"/>
                <w:sz w:val="18"/>
                <w:szCs w:val="18"/>
                <w:color w:val="auto"/>
                <w:w w:val="79"/>
              </w:rPr>
              <w:t>share</w:t>
            </w: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based awards</w:t>
            </w:r>
          </w:p>
        </w:tc>
        <w:tc>
          <w:tcPr>
            <w:tcW w:w="16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2,294</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2"/>
        </w:trPr>
        <w:tc>
          <w:tcPr>
            <w:tcW w:w="4060" w:type="dxa"/>
            <w:vAlign w:val="bottom"/>
            <w:gridSpan w:val="3"/>
          </w:tcPr>
          <w:p>
            <w:pPr>
              <w:spacing w:after="0"/>
              <w:rPr>
                <w:sz w:val="20"/>
                <w:szCs w:val="20"/>
                <w:color w:val="auto"/>
              </w:rPr>
            </w:pPr>
            <w:r>
              <w:rPr>
                <w:rFonts w:ascii="Arial" w:cs="Arial" w:eastAsia="Arial" w:hAnsi="Arial"/>
                <w:sz w:val="18"/>
                <w:szCs w:val="18"/>
                <w:color w:val="auto"/>
              </w:rPr>
              <w:t>Total contributions by and distributions</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460" w:type="dxa"/>
            <w:vAlign w:val="bottom"/>
            <w:gridSpan w:val="2"/>
          </w:tcPr>
          <w:p>
            <w:pPr>
              <w:spacing w:after="0"/>
              <w:rPr>
                <w:sz w:val="20"/>
                <w:szCs w:val="20"/>
                <w:color w:val="auto"/>
              </w:rPr>
            </w:pPr>
            <w:r>
              <w:rPr>
                <w:rFonts w:ascii="Arial" w:cs="Arial" w:eastAsia="Arial" w:hAnsi="Arial"/>
                <w:sz w:val="18"/>
                <w:szCs w:val="18"/>
                <w:color w:val="auto"/>
              </w:rPr>
              <w:t>to owners</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(111,489)</w:t>
            </w: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4,553</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7,270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(6,824)</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Total transactions with owners</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(111,489)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4,553</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7,270</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(6,824)</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424"/>
        </w:trPr>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Balance at 31 December 2011</w:t>
            </w:r>
          </w:p>
        </w:tc>
        <w:tc>
          <w:tcPr>
            <w:tcW w:w="1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60,135,603</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5,055</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160,090</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44</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38,170</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6,071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(7,738)</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186,461</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388,153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right="140"/>
        <w:spacing w:after="0" w:line="250" w:lineRule="auto"/>
        <w:rPr>
          <w:sz w:val="20"/>
          <w:szCs w:val="20"/>
          <w:color w:val="auto"/>
        </w:rPr>
      </w:pPr>
      <w:r>
        <w:rPr>
          <w:rFonts w:ascii="Arial" w:cs="Arial" w:eastAsia="Arial" w:hAnsi="Arial"/>
          <w:sz w:val="18"/>
          <w:szCs w:val="18"/>
          <w:i w:val="1"/>
          <w:iCs w:val="1"/>
          <w:color w:val="auto"/>
        </w:rPr>
        <w:t>As permitted by section 148(8) of the Companies Act 1963, the Company has not presented a Company income statement. The profit for the 2011 financial year retained by the Company amounted to $68,418,000 (2010: profit $1,956,000).</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Company Statement of Cash Flows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440" w:type="dxa"/>
            <w:vAlign w:val="bottom"/>
          </w:tcPr>
          <w:p>
            <w:pPr>
              <w:jc w:val="center"/>
              <w:ind w:left="2252"/>
              <w:spacing w:after="0"/>
              <w:rPr>
                <w:sz w:val="20"/>
                <w:szCs w:val="20"/>
                <w:color w:val="auto"/>
              </w:rPr>
            </w:pPr>
            <w:r>
              <w:rPr>
                <w:rFonts w:ascii="Arial" w:cs="Arial" w:eastAsia="Arial" w:hAnsi="Arial"/>
                <w:sz w:val="18"/>
                <w:szCs w:val="18"/>
                <w:b w:val="1"/>
                <w:bCs w:val="1"/>
                <w:i w:val="1"/>
                <w:iCs w:val="1"/>
                <w:color w:val="auto"/>
                <w:w w:val="84"/>
              </w:rPr>
              <w:t>Note</w:t>
            </w:r>
          </w:p>
        </w:tc>
        <w:tc>
          <w:tcPr>
            <w:tcW w:w="1580" w:type="dxa"/>
            <w:vAlign w:val="bottom"/>
          </w:tcPr>
          <w:p>
            <w:pPr>
              <w:jc w:val="right"/>
              <w:ind w:right="132"/>
              <w:spacing w:after="0"/>
              <w:rPr>
                <w:sz w:val="20"/>
                <w:szCs w:val="20"/>
                <w:color w:val="auto"/>
              </w:rPr>
            </w:pPr>
            <w:r>
              <w:rPr>
                <w:rFonts w:ascii="Arial" w:cs="Arial" w:eastAsia="Arial" w:hAnsi="Arial"/>
                <w:sz w:val="18"/>
                <w:szCs w:val="18"/>
                <w:b w:val="1"/>
                <w:bCs w:val="1"/>
                <w:color w:val="auto"/>
              </w:rPr>
              <w:t>Year ended</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financial year</w:t>
            </w:r>
          </w:p>
        </w:tc>
        <w:tc>
          <w:tcPr>
            <w:tcW w:w="34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1,034</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68,418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Pr>
          <w:p>
            <w:pPr>
              <w:spacing w:after="0" w:line="194" w:lineRule="exact"/>
              <w:rPr>
                <w:sz w:val="20"/>
                <w:szCs w:val="20"/>
                <w:color w:val="auto"/>
              </w:rPr>
            </w:pPr>
            <w:r>
              <w:rPr>
                <w:rFonts w:ascii="Arial" w:cs="Arial" w:eastAsia="Arial" w:hAnsi="Arial"/>
                <w:sz w:val="18"/>
                <w:szCs w:val="18"/>
                <w:b w:val="1"/>
                <w:bCs w:val="1"/>
                <w:color w:val="auto"/>
                <w:w w:val="93"/>
              </w:rPr>
              <w:t>Adjustments to reconcile net income to net cash generated from</w:t>
            </w:r>
          </w:p>
        </w:tc>
        <w:tc>
          <w:tcPr>
            <w:tcW w:w="3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3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440" w:type="dxa"/>
            <w:vAlign w:val="bottom"/>
            <w:shd w:val="clear" w:color="auto" w:fill="CCEEFF"/>
          </w:tcPr>
          <w:p>
            <w:pPr>
              <w:jc w:val="center"/>
              <w:ind w:left="2252"/>
              <w:spacing w:after="0"/>
              <w:rPr>
                <w:sz w:val="20"/>
                <w:szCs w:val="20"/>
                <w:color w:val="auto"/>
              </w:rPr>
            </w:pPr>
            <w:r>
              <w:rPr>
                <w:rFonts w:ascii="Arial" w:cs="Arial" w:eastAsia="Arial" w:hAnsi="Arial"/>
                <w:sz w:val="18"/>
                <w:szCs w:val="18"/>
                <w:i w:val="1"/>
                <w:iCs w:val="1"/>
                <w:color w:val="auto"/>
                <w:w w:val="99"/>
              </w:rPr>
              <w:t>1</w:t>
            </w: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579</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Amortisation of intangible assets</w:t>
            </w:r>
          </w:p>
        </w:tc>
        <w:tc>
          <w:tcPr>
            <w:tcW w:w="3440" w:type="dxa"/>
            <w:vAlign w:val="bottom"/>
          </w:tcPr>
          <w:p>
            <w:pPr>
              <w:jc w:val="center"/>
              <w:ind w:left="2252"/>
              <w:spacing w:after="0"/>
              <w:rPr>
                <w:sz w:val="20"/>
                <w:szCs w:val="20"/>
                <w:color w:val="auto"/>
              </w:rPr>
            </w:pPr>
            <w:r>
              <w:rPr>
                <w:rFonts w:ascii="Arial" w:cs="Arial" w:eastAsia="Arial" w:hAnsi="Arial"/>
                <w:sz w:val="18"/>
                <w:szCs w:val="18"/>
                <w:i w:val="1"/>
                <w:iCs w:val="1"/>
                <w:color w:val="auto"/>
                <w:w w:val="99"/>
              </w:rPr>
              <w:t>2</w:t>
            </w:r>
          </w:p>
        </w:tc>
        <w:tc>
          <w:tcPr>
            <w:tcW w:w="1580" w:type="dxa"/>
            <w:vAlign w:val="bottom"/>
          </w:tcPr>
          <w:p>
            <w:pPr>
              <w:jc w:val="right"/>
              <w:ind w:right="132"/>
              <w:spacing w:after="0"/>
              <w:rPr>
                <w:sz w:val="20"/>
                <w:szCs w:val="20"/>
                <w:color w:val="auto"/>
              </w:rPr>
            </w:pPr>
            <w:r>
              <w:rPr>
                <w:rFonts w:ascii="Arial" w:cs="Arial" w:eastAsia="Arial" w:hAnsi="Arial"/>
                <w:sz w:val="18"/>
                <w:szCs w:val="18"/>
                <w:b w:val="1"/>
                <w:bCs w:val="1"/>
                <w:color w:val="auto"/>
              </w:rPr>
              <w:t>256</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34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3,665</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on intercompany loans</w:t>
            </w:r>
          </w:p>
        </w:tc>
        <w:tc>
          <w:tcPr>
            <w:tcW w:w="3440" w:type="dxa"/>
            <w:vAlign w:val="bottom"/>
          </w:tcPr>
          <w:p>
            <w:pPr>
              <w:jc w:val="center"/>
              <w:ind w:left="2252"/>
              <w:spacing w:after="0"/>
              <w:rPr>
                <w:sz w:val="20"/>
                <w:szCs w:val="20"/>
                <w:color w:val="auto"/>
              </w:rPr>
            </w:pPr>
            <w:r>
              <w:rPr>
                <w:rFonts w:ascii="Arial" w:cs="Arial" w:eastAsia="Arial" w:hAnsi="Arial"/>
                <w:sz w:val="18"/>
                <w:szCs w:val="18"/>
                <w:i w:val="1"/>
                <w:iCs w:val="1"/>
                <w:color w:val="auto"/>
                <w:w w:val="99"/>
              </w:rPr>
              <w:t>3</w:t>
            </w:r>
          </w:p>
        </w:tc>
        <w:tc>
          <w:tcPr>
            <w:tcW w:w="1580" w:type="dxa"/>
            <w:vAlign w:val="bottom"/>
          </w:tcPr>
          <w:p>
            <w:pPr>
              <w:jc w:val="right"/>
              <w:ind w:right="72"/>
              <w:spacing w:after="0"/>
              <w:rPr>
                <w:sz w:val="20"/>
                <w:szCs w:val="20"/>
                <w:color w:val="auto"/>
              </w:rPr>
            </w:pPr>
            <w:r>
              <w:rPr>
                <w:rFonts w:ascii="Arial" w:cs="Arial" w:eastAsia="Arial" w:hAnsi="Arial"/>
                <w:sz w:val="18"/>
                <w:szCs w:val="18"/>
                <w:b w:val="1"/>
                <w:bCs w:val="1"/>
                <w:color w:val="auto"/>
              </w:rPr>
              <w:t>(2,678)</w:t>
            </w:r>
          </w:p>
        </w:tc>
        <w:tc>
          <w:tcPr>
            <w:tcW w:w="1220" w:type="dxa"/>
            <w:vAlign w:val="bottom"/>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w:t>
            </w:r>
          </w:p>
        </w:tc>
        <w:tc>
          <w:tcPr>
            <w:tcW w:w="34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921</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34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1,058</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cash inflow before changes in working capital</w:t>
            </w:r>
          </w:p>
        </w:tc>
        <w:tc>
          <w:tcPr>
            <w:tcW w:w="34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4,835</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70,172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other current assets</w:t>
            </w:r>
          </w:p>
        </w:tc>
        <w:tc>
          <w:tcPr>
            <w:tcW w:w="34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314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Increase in accounts payable and accrued and other liabilities</w:t>
            </w:r>
          </w:p>
        </w:tc>
        <w:tc>
          <w:tcPr>
            <w:tcW w:w="3440" w:type="dxa"/>
            <w:vAlign w:val="bottom"/>
          </w:tcPr>
          <w:p>
            <w:pPr>
              <w:spacing w:after="0"/>
              <w:rPr>
                <w:sz w:val="18"/>
                <w:szCs w:val="18"/>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b w:val="1"/>
                <w:bCs w:val="1"/>
                <w:color w:val="auto"/>
              </w:rPr>
              <w:t>3,161</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Increase in income taxes payable</w:t>
            </w:r>
          </w:p>
        </w:tc>
        <w:tc>
          <w:tcPr>
            <w:tcW w:w="34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713</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provided by operations</w:t>
            </w:r>
          </w:p>
        </w:tc>
        <w:tc>
          <w:tcPr>
            <w:tcW w:w="34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9,023</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70,326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34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(602)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 paid</w:t>
            </w:r>
          </w:p>
        </w:tc>
        <w:tc>
          <w:tcPr>
            <w:tcW w:w="34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(925)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cash inflow from operating activities</w:t>
            </w:r>
          </w:p>
        </w:tc>
        <w:tc>
          <w:tcPr>
            <w:tcW w:w="34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7,496</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69,223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Purchase of computer software</w:t>
            </w:r>
          </w:p>
        </w:tc>
        <w:tc>
          <w:tcPr>
            <w:tcW w:w="34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(172)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of property, plant and equipment</w:t>
            </w:r>
          </w:p>
        </w:tc>
        <w:tc>
          <w:tcPr>
            <w:tcW w:w="34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(50)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by investing activities</w:t>
            </w:r>
          </w:p>
        </w:tc>
        <w:tc>
          <w:tcPr>
            <w:tcW w:w="34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(222)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Increase in amounts due from subsidiary undertakings</w:t>
            </w:r>
          </w:p>
        </w:tc>
        <w:tc>
          <w:tcPr>
            <w:tcW w:w="34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(7,140)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Proceeds from exercise of share options</w:t>
            </w:r>
          </w:p>
        </w:tc>
        <w:tc>
          <w:tcPr>
            <w:tcW w:w="3440" w:type="dxa"/>
            <w:vAlign w:val="bottom"/>
          </w:tcPr>
          <w:p>
            <w:pPr>
              <w:spacing w:after="0"/>
              <w:rPr>
                <w:sz w:val="18"/>
                <w:szCs w:val="18"/>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b w:val="1"/>
                <w:bCs w:val="1"/>
                <w:color w:val="auto"/>
              </w:rPr>
              <w:t>13,015</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34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Repurchase of ordinary shares</w:t>
            </w:r>
          </w:p>
        </w:tc>
        <w:tc>
          <w:tcPr>
            <w:tcW w:w="3440" w:type="dxa"/>
            <w:vAlign w:val="bottom"/>
          </w:tcPr>
          <w:p>
            <w:pPr>
              <w:spacing w:after="0"/>
              <w:rPr>
                <w:sz w:val="18"/>
                <w:szCs w:val="18"/>
                <w:color w:val="auto"/>
              </w:rPr>
            </w:pPr>
          </w:p>
        </w:tc>
        <w:tc>
          <w:tcPr>
            <w:tcW w:w="1580" w:type="dxa"/>
            <w:vAlign w:val="bottom"/>
          </w:tcPr>
          <w:p>
            <w:pPr>
              <w:jc w:val="right"/>
              <w:ind w:right="72"/>
              <w:spacing w:after="0"/>
              <w:rPr>
                <w:sz w:val="20"/>
                <w:szCs w:val="20"/>
                <w:color w:val="auto"/>
              </w:rPr>
            </w:pPr>
            <w:r>
              <w:rPr>
                <w:rFonts w:ascii="Arial" w:cs="Arial" w:eastAsia="Arial" w:hAnsi="Arial"/>
                <w:sz w:val="18"/>
                <w:szCs w:val="18"/>
                <w:b w:val="1"/>
                <w:bCs w:val="1"/>
                <w:color w:val="auto"/>
              </w:rPr>
              <w:t>(15,605)</w:t>
            </w:r>
          </w:p>
        </w:tc>
        <w:tc>
          <w:tcPr>
            <w:tcW w:w="1220" w:type="dxa"/>
            <w:vAlign w:val="bottom"/>
          </w:tcPr>
          <w:p>
            <w:pPr>
              <w:jc w:val="right"/>
              <w:spacing w:after="0"/>
              <w:rPr>
                <w:sz w:val="20"/>
                <w:szCs w:val="20"/>
                <w:color w:val="auto"/>
              </w:rPr>
            </w:pPr>
            <w:r>
              <w:rPr>
                <w:rFonts w:ascii="Arial" w:cs="Arial" w:eastAsia="Arial" w:hAnsi="Arial"/>
                <w:sz w:val="18"/>
                <w:szCs w:val="18"/>
                <w:color w:val="auto"/>
              </w:rPr>
              <w:t>(9,005)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repurchase costs</w:t>
            </w:r>
          </w:p>
        </w:tc>
        <w:tc>
          <w:tcPr>
            <w:tcW w:w="34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(190)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34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(9,994)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34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(2,720)</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3440" w:type="dxa"/>
            <w:vAlign w:val="bottom"/>
          </w:tcPr>
          <w:p>
            <w:pPr>
              <w:spacing w:after="0"/>
              <w:rPr>
                <w:sz w:val="18"/>
                <w:szCs w:val="18"/>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b w:val="1"/>
                <w:bCs w:val="1"/>
                <w:color w:val="auto"/>
              </w:rPr>
              <w:t>49</w:t>
            </w: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start of year</w:t>
            </w:r>
          </w:p>
        </w:tc>
        <w:tc>
          <w:tcPr>
            <w:tcW w:w="34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3,729</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3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1,058</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440" w:type="dxa"/>
            <w:vAlign w:val="bottom"/>
          </w:tcPr>
          <w:p>
            <w:pPr>
              <w:jc w:val="right"/>
              <w:ind w:right="2692"/>
              <w:spacing w:after="0"/>
              <w:rPr>
                <w:sz w:val="20"/>
                <w:szCs w:val="20"/>
                <w:color w:val="auto"/>
              </w:rPr>
            </w:pPr>
            <w:r>
              <w:rPr>
                <w:rFonts w:ascii="Arial" w:cs="Arial" w:eastAsia="Arial" w:hAnsi="Arial"/>
                <w:sz w:val="18"/>
                <w:szCs w:val="18"/>
                <w:color w:val="auto"/>
              </w:rPr>
              <w:t>105</w:t>
            </w: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16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Notes to Company Financial Statements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1. Property, plant and equipment</w:t>
            </w:r>
          </w:p>
        </w:tc>
        <w:tc>
          <w:tcPr>
            <w:tcW w:w="3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jc w:val="right"/>
              <w:ind w:right="392"/>
              <w:spacing w:after="0"/>
              <w:rPr>
                <w:sz w:val="20"/>
                <w:szCs w:val="20"/>
                <w:color w:val="auto"/>
              </w:rPr>
            </w:pPr>
            <w:r>
              <w:rPr>
                <w:rFonts w:ascii="Arial" w:cs="Arial" w:eastAsia="Arial" w:hAnsi="Arial"/>
                <w:sz w:val="18"/>
                <w:szCs w:val="18"/>
                <w:b w:val="1"/>
                <w:bCs w:val="1"/>
                <w:color w:val="auto"/>
              </w:rPr>
              <w:t>Office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480" w:type="dxa"/>
            <w:vAlign w:val="bottom"/>
          </w:tcPr>
          <w:p>
            <w:pPr>
              <w:jc w:val="right"/>
              <w:ind w:right="232"/>
              <w:spacing w:after="0"/>
              <w:rPr>
                <w:sz w:val="20"/>
                <w:szCs w:val="20"/>
                <w:color w:val="auto"/>
              </w:rPr>
            </w:pPr>
            <w:r>
              <w:rPr>
                <w:rFonts w:ascii="Arial" w:cs="Arial" w:eastAsia="Arial" w:hAnsi="Arial"/>
                <w:sz w:val="18"/>
                <w:szCs w:val="18"/>
                <w:b w:val="1"/>
                <w:bCs w:val="1"/>
                <w:color w:val="auto"/>
              </w:rPr>
              <w:t>Leasehold</w:t>
            </w:r>
          </w:p>
        </w:tc>
        <w:tc>
          <w:tcPr>
            <w:tcW w:w="1340" w:type="dxa"/>
            <w:vAlign w:val="bottom"/>
          </w:tcPr>
          <w:p>
            <w:pPr>
              <w:jc w:val="right"/>
              <w:ind w:right="172"/>
              <w:spacing w:after="0"/>
              <w:rPr>
                <w:sz w:val="20"/>
                <w:szCs w:val="20"/>
                <w:color w:val="auto"/>
              </w:rPr>
            </w:pPr>
            <w:r>
              <w:rPr>
                <w:rFonts w:ascii="Arial" w:cs="Arial" w:eastAsia="Arial" w:hAnsi="Arial"/>
                <w:sz w:val="18"/>
                <w:szCs w:val="18"/>
                <w:b w:val="1"/>
                <w:bCs w:val="1"/>
                <w:color w:val="auto"/>
              </w:rPr>
              <w:t>Computer</w:t>
            </w:r>
          </w:p>
        </w:tc>
        <w:tc>
          <w:tcPr>
            <w:tcW w:w="1580" w:type="dxa"/>
            <w:vAlign w:val="bottom"/>
          </w:tcPr>
          <w:p>
            <w:pPr>
              <w:jc w:val="right"/>
              <w:ind w:right="392"/>
              <w:spacing w:after="0"/>
              <w:rPr>
                <w:sz w:val="20"/>
                <w:szCs w:val="20"/>
                <w:color w:val="auto"/>
              </w:rPr>
            </w:pPr>
            <w:r>
              <w:rPr>
                <w:rFonts w:ascii="Arial" w:cs="Arial" w:eastAsia="Arial" w:hAnsi="Arial"/>
                <w:sz w:val="18"/>
                <w:szCs w:val="18"/>
                <w:b w:val="1"/>
                <w:bCs w:val="1"/>
                <w:color w:val="auto"/>
              </w:rPr>
              <w:t>furniture &amp;</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480" w:type="dxa"/>
            <w:vAlign w:val="bottom"/>
          </w:tcPr>
          <w:p>
            <w:pPr>
              <w:jc w:val="right"/>
              <w:ind w:right="232"/>
              <w:spacing w:after="0"/>
              <w:rPr>
                <w:sz w:val="20"/>
                <w:szCs w:val="20"/>
                <w:color w:val="auto"/>
              </w:rPr>
            </w:pPr>
            <w:r>
              <w:rPr>
                <w:rFonts w:ascii="Arial" w:cs="Arial" w:eastAsia="Arial" w:hAnsi="Arial"/>
                <w:sz w:val="18"/>
                <w:szCs w:val="18"/>
                <w:b w:val="1"/>
                <w:bCs w:val="1"/>
                <w:color w:val="auto"/>
              </w:rPr>
              <w:t>improvements</w:t>
            </w:r>
          </w:p>
        </w:tc>
        <w:tc>
          <w:tcPr>
            <w:tcW w:w="1340" w:type="dxa"/>
            <w:vAlign w:val="bottom"/>
          </w:tcPr>
          <w:p>
            <w:pPr>
              <w:jc w:val="right"/>
              <w:ind w:right="172"/>
              <w:spacing w:after="0"/>
              <w:rPr>
                <w:sz w:val="20"/>
                <w:szCs w:val="20"/>
                <w:color w:val="auto"/>
              </w:rPr>
            </w:pPr>
            <w:r>
              <w:rPr>
                <w:rFonts w:ascii="Arial" w:cs="Arial" w:eastAsia="Arial" w:hAnsi="Arial"/>
                <w:sz w:val="18"/>
                <w:szCs w:val="18"/>
                <w:b w:val="1"/>
                <w:bCs w:val="1"/>
                <w:color w:val="auto"/>
              </w:rPr>
              <w:t>equipment</w:t>
            </w:r>
          </w:p>
        </w:tc>
        <w:tc>
          <w:tcPr>
            <w:tcW w:w="1580" w:type="dxa"/>
            <w:vAlign w:val="bottom"/>
          </w:tcPr>
          <w:p>
            <w:pPr>
              <w:jc w:val="right"/>
              <w:ind w:right="392"/>
              <w:spacing w:after="0"/>
              <w:rPr>
                <w:sz w:val="20"/>
                <w:szCs w:val="20"/>
                <w:color w:val="auto"/>
              </w:rPr>
            </w:pPr>
            <w:r>
              <w:rPr>
                <w:rFonts w:ascii="Arial" w:cs="Arial" w:eastAsia="Arial" w:hAnsi="Arial"/>
                <w:sz w:val="18"/>
                <w:szCs w:val="18"/>
                <w:b w:val="1"/>
                <w:bCs w:val="1"/>
                <w:color w:val="auto"/>
              </w:rPr>
              <w:t>fixtures</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3480" w:type="dxa"/>
            <w:vAlign w:val="bottom"/>
          </w:tcPr>
          <w:p>
            <w:pPr>
              <w:jc w:val="right"/>
              <w:ind w:right="232"/>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72"/>
              <w:spacing w:after="0"/>
              <w:rPr>
                <w:sz w:val="20"/>
                <w:szCs w:val="20"/>
                <w:color w:val="auto"/>
              </w:rPr>
            </w:pPr>
            <w:r>
              <w:rPr>
                <w:rFonts w:ascii="Arial" w:cs="Arial" w:eastAsia="Arial" w:hAnsi="Arial"/>
                <w:sz w:val="18"/>
                <w:szCs w:val="18"/>
                <w:b w:val="1"/>
                <w:bCs w:val="1"/>
                <w:color w:val="auto"/>
              </w:rPr>
              <w:t>$’000</w:t>
            </w:r>
          </w:p>
        </w:tc>
        <w:tc>
          <w:tcPr>
            <w:tcW w:w="1580" w:type="dxa"/>
            <w:vAlign w:val="bottom"/>
          </w:tcPr>
          <w:p>
            <w:pPr>
              <w:jc w:val="right"/>
              <w:ind w:right="392"/>
              <w:spacing w:after="0"/>
              <w:rPr>
                <w:sz w:val="20"/>
                <w:szCs w:val="20"/>
                <w:color w:val="auto"/>
              </w:rPr>
            </w:pPr>
            <w:r>
              <w:rPr>
                <w:rFonts w:ascii="Arial" w:cs="Arial" w:eastAsia="Arial" w:hAnsi="Arial"/>
                <w:sz w:val="18"/>
                <w:szCs w:val="18"/>
                <w:b w:val="1"/>
                <w:bCs w:val="1"/>
                <w:color w:val="auto"/>
              </w:rPr>
              <w:t>$’000</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2"/>
        </w:trPr>
        <w:tc>
          <w:tcPr>
            <w:tcW w:w="4060" w:type="dxa"/>
            <w:vAlign w:val="bottom"/>
            <w:gridSpan w:val="2"/>
            <w:vMerge w:val="continue"/>
          </w:tcPr>
          <w:p>
            <w:pPr>
              <w:spacing w:after="0"/>
              <w:rPr>
                <w:sz w:val="18"/>
                <w:szCs w:val="18"/>
                <w:color w:val="auto"/>
              </w:rPr>
            </w:pPr>
          </w:p>
        </w:tc>
        <w:tc>
          <w:tcPr>
            <w:tcW w:w="3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2012</w:t>
            </w:r>
          </w:p>
        </w:tc>
        <w:tc>
          <w:tcPr>
            <w:tcW w:w="3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630</w:t>
            </w:r>
          </w:p>
        </w:tc>
        <w:tc>
          <w:tcPr>
            <w:tcW w:w="13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1,545</w:t>
            </w:r>
          </w:p>
        </w:tc>
        <w:tc>
          <w:tcPr>
            <w:tcW w:w="1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1,535</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Additions</w:t>
            </w:r>
          </w:p>
        </w:tc>
        <w:tc>
          <w:tcPr>
            <w:tcW w:w="3480" w:type="dxa"/>
            <w:vAlign w:val="bottom"/>
          </w:tcPr>
          <w:p>
            <w:pPr>
              <w:jc w:val="right"/>
              <w:ind w:right="232"/>
              <w:spacing w:after="0"/>
              <w:rPr>
                <w:sz w:val="20"/>
                <w:szCs w:val="20"/>
                <w:color w:val="auto"/>
              </w:rPr>
            </w:pPr>
            <w:r>
              <w:rPr>
                <w:rFonts w:ascii="Arial" w:cs="Arial" w:eastAsia="Arial" w:hAnsi="Arial"/>
                <w:sz w:val="18"/>
                <w:szCs w:val="18"/>
                <w:color w:val="auto"/>
              </w:rPr>
              <w:t>2</w:t>
            </w: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168</w:t>
            </w:r>
          </w:p>
        </w:tc>
        <w:tc>
          <w:tcPr>
            <w:tcW w:w="1580" w:type="dxa"/>
            <w:vAlign w:val="bottom"/>
          </w:tcPr>
          <w:p>
            <w:pPr>
              <w:jc w:val="right"/>
              <w:ind w:right="392"/>
              <w:spacing w:after="0"/>
              <w:rPr>
                <w:sz w:val="20"/>
                <w:szCs w:val="20"/>
                <w:color w:val="auto"/>
              </w:rPr>
            </w:pPr>
            <w:r>
              <w:rPr>
                <w:rFonts w:ascii="Arial" w:cs="Arial" w:eastAsia="Arial" w:hAnsi="Arial"/>
                <w:sz w:val="18"/>
                <w:szCs w:val="18"/>
                <w:color w:val="auto"/>
              </w:rPr>
              <w:t>2</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w:t>
            </w:r>
          </w:p>
        </w:tc>
        <w:tc>
          <w:tcPr>
            <w:tcW w:w="3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138</w:t>
            </w:r>
          </w:p>
        </w:tc>
        <w:tc>
          <w:tcPr>
            <w:tcW w:w="13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(138)</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movement</w:t>
            </w:r>
          </w:p>
        </w:tc>
        <w:tc>
          <w:tcPr>
            <w:tcW w:w="34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36</w:t>
            </w:r>
          </w:p>
        </w:tc>
        <w:tc>
          <w:tcPr>
            <w:tcW w:w="13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64</w:t>
            </w:r>
          </w:p>
        </w:tc>
        <w:tc>
          <w:tcPr>
            <w:tcW w:w="15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63</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2012</w:t>
            </w:r>
          </w:p>
        </w:tc>
        <w:tc>
          <w:tcPr>
            <w:tcW w:w="34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806</w:t>
            </w:r>
          </w:p>
        </w:tc>
        <w:tc>
          <w:tcPr>
            <w:tcW w:w="13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1,777</w:t>
            </w:r>
          </w:p>
        </w:tc>
        <w:tc>
          <w:tcPr>
            <w:tcW w:w="15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1,462</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4,045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Depreciation</w:t>
            </w:r>
          </w:p>
        </w:tc>
        <w:tc>
          <w:tcPr>
            <w:tcW w:w="3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2012</w:t>
            </w:r>
          </w:p>
        </w:tc>
        <w:tc>
          <w:tcPr>
            <w:tcW w:w="3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359</w:t>
            </w:r>
          </w:p>
        </w:tc>
        <w:tc>
          <w:tcPr>
            <w:tcW w:w="13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1,147</w:t>
            </w:r>
          </w:p>
        </w:tc>
        <w:tc>
          <w:tcPr>
            <w:tcW w:w="1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732</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Charge for the year</w:t>
            </w:r>
          </w:p>
        </w:tc>
        <w:tc>
          <w:tcPr>
            <w:tcW w:w="3480" w:type="dxa"/>
            <w:vAlign w:val="bottom"/>
          </w:tcPr>
          <w:p>
            <w:pPr>
              <w:jc w:val="right"/>
              <w:ind w:right="232"/>
              <w:spacing w:after="0"/>
              <w:rPr>
                <w:sz w:val="20"/>
                <w:szCs w:val="20"/>
                <w:color w:val="auto"/>
              </w:rPr>
            </w:pPr>
            <w:r>
              <w:rPr>
                <w:rFonts w:ascii="Arial" w:cs="Arial" w:eastAsia="Arial" w:hAnsi="Arial"/>
                <w:sz w:val="18"/>
                <w:szCs w:val="18"/>
                <w:color w:val="auto"/>
              </w:rPr>
              <w:t>165</w:t>
            </w: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196</w:t>
            </w:r>
          </w:p>
        </w:tc>
        <w:tc>
          <w:tcPr>
            <w:tcW w:w="1580" w:type="dxa"/>
            <w:vAlign w:val="bottom"/>
          </w:tcPr>
          <w:p>
            <w:pPr>
              <w:jc w:val="right"/>
              <w:ind w:right="392"/>
              <w:spacing w:after="0"/>
              <w:rPr>
                <w:sz w:val="20"/>
                <w:szCs w:val="20"/>
                <w:color w:val="auto"/>
              </w:rPr>
            </w:pPr>
            <w:r>
              <w:rPr>
                <w:rFonts w:ascii="Arial" w:cs="Arial" w:eastAsia="Arial" w:hAnsi="Arial"/>
                <w:sz w:val="18"/>
                <w:szCs w:val="18"/>
                <w:color w:val="auto"/>
              </w:rPr>
              <w:t>218</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w:t>
            </w:r>
          </w:p>
        </w:tc>
        <w:tc>
          <w:tcPr>
            <w:tcW w:w="3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105</w:t>
            </w:r>
          </w:p>
        </w:tc>
        <w:tc>
          <w:tcPr>
            <w:tcW w:w="13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(105)</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movement</w:t>
            </w:r>
          </w:p>
        </w:tc>
        <w:tc>
          <w:tcPr>
            <w:tcW w:w="34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19</w:t>
            </w:r>
          </w:p>
        </w:tc>
        <w:tc>
          <w:tcPr>
            <w:tcW w:w="13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44</w:t>
            </w:r>
          </w:p>
        </w:tc>
        <w:tc>
          <w:tcPr>
            <w:tcW w:w="15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29</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2012</w:t>
            </w:r>
          </w:p>
        </w:tc>
        <w:tc>
          <w:tcPr>
            <w:tcW w:w="34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648</w:t>
            </w:r>
          </w:p>
        </w:tc>
        <w:tc>
          <w:tcPr>
            <w:tcW w:w="13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1,387</w:t>
            </w:r>
          </w:p>
        </w:tc>
        <w:tc>
          <w:tcPr>
            <w:tcW w:w="15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874</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2,909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3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2012</w:t>
            </w:r>
          </w:p>
        </w:tc>
        <w:tc>
          <w:tcPr>
            <w:tcW w:w="34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158</w:t>
            </w:r>
          </w:p>
        </w:tc>
        <w:tc>
          <w:tcPr>
            <w:tcW w:w="13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390</w:t>
            </w:r>
          </w:p>
        </w:tc>
        <w:tc>
          <w:tcPr>
            <w:tcW w:w="1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588</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1,136</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0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31 December 2011</w:t>
            </w:r>
          </w:p>
        </w:tc>
        <w:tc>
          <w:tcPr>
            <w:tcW w:w="34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271</w:t>
            </w:r>
          </w:p>
        </w:tc>
        <w:tc>
          <w:tcPr>
            <w:tcW w:w="13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398</w:t>
            </w:r>
          </w:p>
        </w:tc>
        <w:tc>
          <w:tcPr>
            <w:tcW w:w="1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803</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jc w:val="right"/>
              <w:ind w:right="392"/>
              <w:spacing w:after="0"/>
              <w:rPr>
                <w:sz w:val="20"/>
                <w:szCs w:val="20"/>
                <w:color w:val="auto"/>
              </w:rPr>
            </w:pPr>
            <w:r>
              <w:rPr>
                <w:rFonts w:ascii="Arial" w:cs="Arial" w:eastAsia="Arial" w:hAnsi="Arial"/>
                <w:sz w:val="18"/>
                <w:szCs w:val="18"/>
                <w:b w:val="1"/>
                <w:bCs w:val="1"/>
                <w:color w:val="auto"/>
              </w:rPr>
              <w:t>Office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480" w:type="dxa"/>
            <w:vAlign w:val="bottom"/>
          </w:tcPr>
          <w:p>
            <w:pPr>
              <w:jc w:val="right"/>
              <w:ind w:right="232"/>
              <w:spacing w:after="0"/>
              <w:rPr>
                <w:sz w:val="20"/>
                <w:szCs w:val="20"/>
                <w:color w:val="auto"/>
              </w:rPr>
            </w:pPr>
            <w:r>
              <w:rPr>
                <w:rFonts w:ascii="Arial" w:cs="Arial" w:eastAsia="Arial" w:hAnsi="Arial"/>
                <w:sz w:val="18"/>
                <w:szCs w:val="18"/>
                <w:b w:val="1"/>
                <w:bCs w:val="1"/>
                <w:color w:val="auto"/>
              </w:rPr>
              <w:t>Leasehold</w:t>
            </w:r>
          </w:p>
        </w:tc>
        <w:tc>
          <w:tcPr>
            <w:tcW w:w="1340" w:type="dxa"/>
            <w:vAlign w:val="bottom"/>
          </w:tcPr>
          <w:p>
            <w:pPr>
              <w:jc w:val="right"/>
              <w:ind w:right="172"/>
              <w:spacing w:after="0"/>
              <w:rPr>
                <w:sz w:val="20"/>
                <w:szCs w:val="20"/>
                <w:color w:val="auto"/>
              </w:rPr>
            </w:pPr>
            <w:r>
              <w:rPr>
                <w:rFonts w:ascii="Arial" w:cs="Arial" w:eastAsia="Arial" w:hAnsi="Arial"/>
                <w:sz w:val="18"/>
                <w:szCs w:val="18"/>
                <w:b w:val="1"/>
                <w:bCs w:val="1"/>
                <w:color w:val="auto"/>
              </w:rPr>
              <w:t>Computer</w:t>
            </w:r>
          </w:p>
        </w:tc>
        <w:tc>
          <w:tcPr>
            <w:tcW w:w="1580" w:type="dxa"/>
            <w:vAlign w:val="bottom"/>
          </w:tcPr>
          <w:p>
            <w:pPr>
              <w:jc w:val="right"/>
              <w:ind w:right="392"/>
              <w:spacing w:after="0"/>
              <w:rPr>
                <w:sz w:val="20"/>
                <w:szCs w:val="20"/>
                <w:color w:val="auto"/>
              </w:rPr>
            </w:pPr>
            <w:r>
              <w:rPr>
                <w:rFonts w:ascii="Arial" w:cs="Arial" w:eastAsia="Arial" w:hAnsi="Arial"/>
                <w:sz w:val="18"/>
                <w:szCs w:val="18"/>
                <w:b w:val="1"/>
                <w:bCs w:val="1"/>
                <w:color w:val="auto"/>
              </w:rPr>
              <w:t>furniture &amp;</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480" w:type="dxa"/>
            <w:vAlign w:val="bottom"/>
          </w:tcPr>
          <w:p>
            <w:pPr>
              <w:jc w:val="right"/>
              <w:ind w:right="232"/>
              <w:spacing w:after="0"/>
              <w:rPr>
                <w:sz w:val="20"/>
                <w:szCs w:val="20"/>
                <w:color w:val="auto"/>
              </w:rPr>
            </w:pPr>
            <w:r>
              <w:rPr>
                <w:rFonts w:ascii="Arial" w:cs="Arial" w:eastAsia="Arial" w:hAnsi="Arial"/>
                <w:sz w:val="18"/>
                <w:szCs w:val="18"/>
                <w:b w:val="1"/>
                <w:bCs w:val="1"/>
                <w:color w:val="auto"/>
              </w:rPr>
              <w:t>improvements</w:t>
            </w:r>
          </w:p>
        </w:tc>
        <w:tc>
          <w:tcPr>
            <w:tcW w:w="1340" w:type="dxa"/>
            <w:vAlign w:val="bottom"/>
          </w:tcPr>
          <w:p>
            <w:pPr>
              <w:jc w:val="right"/>
              <w:ind w:right="172"/>
              <w:spacing w:after="0"/>
              <w:rPr>
                <w:sz w:val="20"/>
                <w:szCs w:val="20"/>
                <w:color w:val="auto"/>
              </w:rPr>
            </w:pPr>
            <w:r>
              <w:rPr>
                <w:rFonts w:ascii="Arial" w:cs="Arial" w:eastAsia="Arial" w:hAnsi="Arial"/>
                <w:sz w:val="18"/>
                <w:szCs w:val="18"/>
                <w:b w:val="1"/>
                <w:bCs w:val="1"/>
                <w:color w:val="auto"/>
              </w:rPr>
              <w:t>equipment</w:t>
            </w:r>
          </w:p>
        </w:tc>
        <w:tc>
          <w:tcPr>
            <w:tcW w:w="1580" w:type="dxa"/>
            <w:vAlign w:val="bottom"/>
          </w:tcPr>
          <w:p>
            <w:pPr>
              <w:jc w:val="right"/>
              <w:ind w:right="392"/>
              <w:spacing w:after="0"/>
              <w:rPr>
                <w:sz w:val="20"/>
                <w:szCs w:val="20"/>
                <w:color w:val="auto"/>
              </w:rPr>
            </w:pPr>
            <w:r>
              <w:rPr>
                <w:rFonts w:ascii="Arial" w:cs="Arial" w:eastAsia="Arial" w:hAnsi="Arial"/>
                <w:sz w:val="18"/>
                <w:szCs w:val="18"/>
                <w:b w:val="1"/>
                <w:bCs w:val="1"/>
                <w:color w:val="auto"/>
              </w:rPr>
              <w:t>fixtures</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3480" w:type="dxa"/>
            <w:vAlign w:val="bottom"/>
          </w:tcPr>
          <w:p>
            <w:pPr>
              <w:jc w:val="right"/>
              <w:ind w:right="232"/>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72"/>
              <w:spacing w:after="0"/>
              <w:rPr>
                <w:sz w:val="20"/>
                <w:szCs w:val="20"/>
                <w:color w:val="auto"/>
              </w:rPr>
            </w:pPr>
            <w:r>
              <w:rPr>
                <w:rFonts w:ascii="Arial" w:cs="Arial" w:eastAsia="Arial" w:hAnsi="Arial"/>
                <w:sz w:val="18"/>
                <w:szCs w:val="18"/>
                <w:b w:val="1"/>
                <w:bCs w:val="1"/>
                <w:color w:val="auto"/>
              </w:rPr>
              <w:t>$’000</w:t>
            </w:r>
          </w:p>
        </w:tc>
        <w:tc>
          <w:tcPr>
            <w:tcW w:w="1580" w:type="dxa"/>
            <w:vAlign w:val="bottom"/>
          </w:tcPr>
          <w:p>
            <w:pPr>
              <w:jc w:val="right"/>
              <w:ind w:right="392"/>
              <w:spacing w:after="0"/>
              <w:rPr>
                <w:sz w:val="20"/>
                <w:szCs w:val="20"/>
                <w:color w:val="auto"/>
              </w:rPr>
            </w:pPr>
            <w:r>
              <w:rPr>
                <w:rFonts w:ascii="Arial" w:cs="Arial" w:eastAsia="Arial" w:hAnsi="Arial"/>
                <w:sz w:val="18"/>
                <w:szCs w:val="18"/>
                <w:b w:val="1"/>
                <w:bCs w:val="1"/>
                <w:color w:val="auto"/>
              </w:rPr>
              <w:t>$’000</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1"/>
        </w:trPr>
        <w:tc>
          <w:tcPr>
            <w:tcW w:w="4060" w:type="dxa"/>
            <w:vAlign w:val="bottom"/>
            <w:gridSpan w:val="2"/>
            <w:vMerge w:val="continue"/>
          </w:tcPr>
          <w:p>
            <w:pPr>
              <w:spacing w:after="0"/>
              <w:rPr>
                <w:sz w:val="17"/>
                <w:szCs w:val="17"/>
                <w:color w:val="auto"/>
              </w:rPr>
            </w:pPr>
          </w:p>
        </w:tc>
        <w:tc>
          <w:tcPr>
            <w:tcW w:w="3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At 1 January 2011</w:t>
            </w:r>
          </w:p>
        </w:tc>
        <w:tc>
          <w:tcPr>
            <w:tcW w:w="3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3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682</w:t>
            </w:r>
          </w:p>
        </w:tc>
        <w:tc>
          <w:tcPr>
            <w:tcW w:w="13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1,339</w:t>
            </w:r>
          </w:p>
        </w:tc>
        <w:tc>
          <w:tcPr>
            <w:tcW w:w="1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1,606</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Disposals</w:t>
            </w:r>
          </w:p>
        </w:tc>
        <w:tc>
          <w:tcPr>
            <w:tcW w:w="3480" w:type="dxa"/>
            <w:vAlign w:val="bottom"/>
          </w:tcPr>
          <w:p>
            <w:pPr>
              <w:jc w:val="right"/>
              <w:ind w:right="232"/>
              <w:spacing w:after="0"/>
              <w:rPr>
                <w:sz w:val="20"/>
                <w:szCs w:val="20"/>
                <w:color w:val="auto"/>
              </w:rPr>
            </w:pPr>
            <w:r>
              <w:rPr>
                <w:rFonts w:ascii="Arial" w:cs="Arial" w:eastAsia="Arial" w:hAnsi="Arial"/>
                <w:sz w:val="18"/>
                <w:szCs w:val="18"/>
                <w:color w:val="auto"/>
              </w:rPr>
              <w:t>2</w:t>
            </w: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281</w:t>
            </w:r>
          </w:p>
        </w:tc>
        <w:tc>
          <w:tcPr>
            <w:tcW w:w="1580" w:type="dxa"/>
            <w:vAlign w:val="bottom"/>
          </w:tcPr>
          <w:p>
            <w:pPr>
              <w:jc w:val="right"/>
              <w:ind w:right="392"/>
              <w:spacing w:after="0"/>
              <w:rPr>
                <w:sz w:val="20"/>
                <w:szCs w:val="20"/>
                <w:color w:val="auto"/>
              </w:rPr>
            </w:pPr>
            <w:r>
              <w:rPr>
                <w:rFonts w:ascii="Arial" w:cs="Arial" w:eastAsia="Arial" w:hAnsi="Arial"/>
                <w:sz w:val="18"/>
                <w:szCs w:val="18"/>
                <w:color w:val="auto"/>
              </w:rPr>
              <w:t>27</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movement</w:t>
            </w:r>
          </w:p>
        </w:tc>
        <w:tc>
          <w:tcPr>
            <w:tcW w:w="34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(54)</w:t>
            </w: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(75)</w:t>
            </w:r>
          </w:p>
        </w:tc>
        <w:tc>
          <w:tcPr>
            <w:tcW w:w="158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(98)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2011</w:t>
            </w:r>
          </w:p>
        </w:tc>
        <w:tc>
          <w:tcPr>
            <w:tcW w:w="34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630</w:t>
            </w:r>
          </w:p>
        </w:tc>
        <w:tc>
          <w:tcPr>
            <w:tcW w:w="13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1,545</w:t>
            </w:r>
          </w:p>
        </w:tc>
        <w:tc>
          <w:tcPr>
            <w:tcW w:w="1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1,535</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3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At 1 January 2010</w:t>
            </w:r>
          </w:p>
        </w:tc>
        <w:tc>
          <w:tcPr>
            <w:tcW w:w="3480" w:type="dxa"/>
            <w:vAlign w:val="bottom"/>
          </w:tcPr>
          <w:p>
            <w:pPr>
              <w:jc w:val="right"/>
              <w:ind w:right="232"/>
              <w:spacing w:after="0"/>
              <w:rPr>
                <w:sz w:val="20"/>
                <w:szCs w:val="20"/>
                <w:color w:val="auto"/>
              </w:rPr>
            </w:pPr>
            <w:r>
              <w:rPr>
                <w:rFonts w:ascii="Arial" w:cs="Arial" w:eastAsia="Arial" w:hAnsi="Arial"/>
                <w:sz w:val="18"/>
                <w:szCs w:val="18"/>
                <w:color w:val="auto"/>
              </w:rPr>
              <w:t>235</w:t>
            </w: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986</w:t>
            </w:r>
          </w:p>
        </w:tc>
        <w:tc>
          <w:tcPr>
            <w:tcW w:w="1580" w:type="dxa"/>
            <w:vAlign w:val="bottom"/>
          </w:tcPr>
          <w:p>
            <w:pPr>
              <w:jc w:val="right"/>
              <w:ind w:right="392"/>
              <w:spacing w:after="0"/>
              <w:rPr>
                <w:sz w:val="20"/>
                <w:szCs w:val="20"/>
                <w:color w:val="auto"/>
              </w:rPr>
            </w:pPr>
            <w:r>
              <w:rPr>
                <w:rFonts w:ascii="Arial" w:cs="Arial" w:eastAsia="Arial" w:hAnsi="Arial"/>
                <w:sz w:val="18"/>
                <w:szCs w:val="18"/>
                <w:color w:val="auto"/>
              </w:rPr>
              <w:t>583</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Charge for the year</w:t>
            </w:r>
          </w:p>
        </w:tc>
        <w:tc>
          <w:tcPr>
            <w:tcW w:w="3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140</w:t>
            </w:r>
          </w:p>
        </w:tc>
        <w:tc>
          <w:tcPr>
            <w:tcW w:w="13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211</w:t>
            </w:r>
          </w:p>
        </w:tc>
        <w:tc>
          <w:tcPr>
            <w:tcW w:w="1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184</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movement</w:t>
            </w:r>
          </w:p>
        </w:tc>
        <w:tc>
          <w:tcPr>
            <w:tcW w:w="34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(16)</w:t>
            </w:r>
          </w:p>
        </w:tc>
        <w:tc>
          <w:tcPr>
            <w:tcW w:w="13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(50)</w:t>
            </w:r>
          </w:p>
        </w:tc>
        <w:tc>
          <w:tcPr>
            <w:tcW w:w="15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(35)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2011</w:t>
            </w:r>
          </w:p>
        </w:tc>
        <w:tc>
          <w:tcPr>
            <w:tcW w:w="34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359</w:t>
            </w:r>
          </w:p>
        </w:tc>
        <w:tc>
          <w:tcPr>
            <w:tcW w:w="13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1,147</w:t>
            </w:r>
          </w:p>
        </w:tc>
        <w:tc>
          <w:tcPr>
            <w:tcW w:w="15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732</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2,238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3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2011</w:t>
            </w:r>
          </w:p>
        </w:tc>
        <w:tc>
          <w:tcPr>
            <w:tcW w:w="34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271</w:t>
            </w:r>
          </w:p>
        </w:tc>
        <w:tc>
          <w:tcPr>
            <w:tcW w:w="13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398</w:t>
            </w:r>
          </w:p>
        </w:tc>
        <w:tc>
          <w:tcPr>
            <w:tcW w:w="1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803</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1,472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0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31 December 2010</w:t>
            </w:r>
          </w:p>
        </w:tc>
        <w:tc>
          <w:tcPr>
            <w:tcW w:w="34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447</w:t>
            </w:r>
          </w:p>
        </w:tc>
        <w:tc>
          <w:tcPr>
            <w:tcW w:w="13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353</w:t>
            </w:r>
          </w:p>
        </w:tc>
        <w:tc>
          <w:tcPr>
            <w:tcW w:w="1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1,023</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80" w:type="dxa"/>
            <w:vAlign w:val="bottom"/>
          </w:tcPr>
          <w:p>
            <w:pPr>
              <w:jc w:val="right"/>
              <w:ind w:right="1612"/>
              <w:spacing w:after="0"/>
              <w:rPr>
                <w:sz w:val="20"/>
                <w:szCs w:val="20"/>
                <w:color w:val="auto"/>
              </w:rPr>
            </w:pPr>
            <w:r>
              <w:rPr>
                <w:rFonts w:ascii="Arial" w:cs="Arial" w:eastAsia="Arial" w:hAnsi="Arial"/>
                <w:sz w:val="18"/>
                <w:szCs w:val="18"/>
                <w:color w:val="auto"/>
              </w:rPr>
              <w:t>106</w:t>
            </w: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2. Intangible assets</w:t>
            </w:r>
          </w:p>
        </w:tc>
        <w:tc>
          <w:tcPr>
            <w:tcW w:w="7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600" w:type="dxa"/>
            <w:vAlign w:val="bottom"/>
          </w:tcPr>
          <w:p>
            <w:pPr>
              <w:jc w:val="right"/>
              <w:ind w:right="12"/>
              <w:spacing w:after="0"/>
              <w:rPr>
                <w:sz w:val="20"/>
                <w:szCs w:val="20"/>
                <w:color w:val="auto"/>
              </w:rPr>
            </w:pPr>
            <w:r>
              <w:rPr>
                <w:rFonts w:ascii="Arial" w:cs="Arial" w:eastAsia="Arial" w:hAnsi="Arial"/>
                <w:sz w:val="18"/>
                <w:szCs w:val="18"/>
                <w:b w:val="1"/>
                <w:bCs w:val="1"/>
                <w:color w:val="auto"/>
              </w:rPr>
              <w:t>Computer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600" w:type="dxa"/>
            <w:vAlign w:val="bottom"/>
          </w:tcPr>
          <w:p>
            <w:pPr>
              <w:jc w:val="right"/>
              <w:ind w:right="12"/>
              <w:spacing w:after="0"/>
              <w:rPr>
                <w:sz w:val="20"/>
                <w:szCs w:val="20"/>
                <w:color w:val="auto"/>
              </w:rPr>
            </w:pPr>
            <w:r>
              <w:rPr>
                <w:rFonts w:ascii="Arial" w:cs="Arial" w:eastAsia="Arial" w:hAnsi="Arial"/>
                <w:sz w:val="18"/>
                <w:szCs w:val="18"/>
                <w:b w:val="1"/>
                <w:bCs w:val="1"/>
                <w:color w:val="auto"/>
              </w:rPr>
              <w:t>Software</w:t>
            </w:r>
          </w:p>
        </w:tc>
        <w:tc>
          <w:tcPr>
            <w:tcW w:w="0" w:type="dxa"/>
            <w:vAlign w:val="bottom"/>
          </w:tcPr>
          <w:p>
            <w:pPr>
              <w:spacing w:after="0"/>
              <w:rPr>
                <w:sz w:val="1"/>
                <w:szCs w:val="1"/>
                <w:color w:val="auto"/>
              </w:rPr>
            </w:pPr>
          </w:p>
        </w:tc>
      </w:tr>
      <w:tr>
        <w:trPr>
          <w:trHeight w:val="229"/>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760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2"/>
        </w:trPr>
        <w:tc>
          <w:tcPr>
            <w:tcW w:w="3820" w:type="dxa"/>
            <w:vAlign w:val="bottom"/>
            <w:gridSpan w:val="2"/>
            <w:vMerge w:val="continue"/>
          </w:tcPr>
          <w:p>
            <w:pPr>
              <w:spacing w:after="0"/>
              <w:rPr>
                <w:sz w:val="18"/>
                <w:szCs w:val="18"/>
                <w:color w:val="auto"/>
              </w:rPr>
            </w:pPr>
          </w:p>
        </w:tc>
        <w:tc>
          <w:tcPr>
            <w:tcW w:w="7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2011</w:t>
            </w:r>
          </w:p>
        </w:tc>
        <w:tc>
          <w:tcPr>
            <w:tcW w:w="7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Additions</w:t>
            </w:r>
          </w:p>
        </w:tc>
        <w:tc>
          <w:tcPr>
            <w:tcW w:w="7600" w:type="dxa"/>
            <w:vAlign w:val="bottom"/>
          </w:tcPr>
          <w:p>
            <w:pPr>
              <w:jc w:val="right"/>
              <w:ind w:right="12"/>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7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1"/>
        </w:trPr>
        <w:tc>
          <w:tcPr>
            <w:tcW w:w="3820" w:type="dxa"/>
            <w:vAlign w:val="bottom"/>
            <w:gridSpan w:val="2"/>
          </w:tcPr>
          <w:p>
            <w:pPr>
              <w:spacing w:after="0"/>
              <w:rPr>
                <w:sz w:val="20"/>
                <w:szCs w:val="20"/>
                <w:color w:val="auto"/>
              </w:rPr>
            </w:pPr>
            <w:r>
              <w:rPr>
                <w:rFonts w:ascii="Arial" w:cs="Arial" w:eastAsia="Arial" w:hAnsi="Arial"/>
                <w:sz w:val="18"/>
                <w:szCs w:val="18"/>
                <w:color w:val="auto"/>
              </w:rPr>
              <w:t>At 31 December 2011</w:t>
            </w:r>
          </w:p>
        </w:tc>
        <w:tc>
          <w:tcPr>
            <w:tcW w:w="7600" w:type="dxa"/>
            <w:vAlign w:val="bottom"/>
          </w:tcPr>
          <w:p>
            <w:pPr>
              <w:jc w:val="right"/>
              <w:ind w:right="12"/>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18"/>
                <w:szCs w:val="18"/>
                <w:color w:val="auto"/>
              </w:rPr>
            </w:pPr>
          </w:p>
        </w:tc>
        <w:tc>
          <w:tcPr>
            <w:tcW w:w="7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Additions</w:t>
            </w:r>
          </w:p>
        </w:tc>
        <w:tc>
          <w:tcPr>
            <w:tcW w:w="760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7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31"/>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At 31 December 2012</w:t>
            </w:r>
          </w:p>
        </w:tc>
        <w:tc>
          <w:tcPr>
            <w:tcW w:w="7600" w:type="dxa"/>
            <w:vAlign w:val="bottom"/>
          </w:tcPr>
          <w:p>
            <w:pPr>
              <w:jc w:val="right"/>
              <w:ind w:right="12"/>
              <w:spacing w:after="0"/>
              <w:rPr>
                <w:sz w:val="20"/>
                <w:szCs w:val="20"/>
                <w:color w:val="auto"/>
              </w:rPr>
            </w:pPr>
            <w:r>
              <w:rPr>
                <w:rFonts w:ascii="Arial" w:cs="Arial" w:eastAsia="Arial" w:hAnsi="Arial"/>
                <w:sz w:val="18"/>
                <w:szCs w:val="18"/>
                <w:b w:val="1"/>
                <w:bCs w:val="1"/>
                <w:color w:val="auto"/>
              </w:rPr>
              <w:t>1,100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18"/>
                <w:szCs w:val="18"/>
                <w:color w:val="auto"/>
              </w:rPr>
            </w:pPr>
          </w:p>
        </w:tc>
        <w:tc>
          <w:tcPr>
            <w:tcW w:w="7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Amortisation</w:t>
            </w:r>
          </w:p>
        </w:tc>
        <w:tc>
          <w:tcPr>
            <w:tcW w:w="7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2011</w:t>
            </w:r>
          </w:p>
        </w:tc>
        <w:tc>
          <w:tcPr>
            <w:tcW w:w="7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Arising during the year</w:t>
            </w:r>
          </w:p>
        </w:tc>
        <w:tc>
          <w:tcPr>
            <w:tcW w:w="7600" w:type="dxa"/>
            <w:vAlign w:val="bottom"/>
          </w:tcPr>
          <w:p>
            <w:pPr>
              <w:jc w:val="right"/>
              <w:ind w:right="12"/>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7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1"/>
        </w:trPr>
        <w:tc>
          <w:tcPr>
            <w:tcW w:w="3820" w:type="dxa"/>
            <w:vAlign w:val="bottom"/>
            <w:gridSpan w:val="2"/>
          </w:tcPr>
          <w:p>
            <w:pPr>
              <w:spacing w:after="0"/>
              <w:rPr>
                <w:sz w:val="20"/>
                <w:szCs w:val="20"/>
                <w:color w:val="auto"/>
              </w:rPr>
            </w:pPr>
            <w:r>
              <w:rPr>
                <w:rFonts w:ascii="Arial" w:cs="Arial" w:eastAsia="Arial" w:hAnsi="Arial"/>
                <w:sz w:val="18"/>
                <w:szCs w:val="18"/>
                <w:color w:val="auto"/>
              </w:rPr>
              <w:t>At 31 December 2011</w:t>
            </w:r>
          </w:p>
        </w:tc>
        <w:tc>
          <w:tcPr>
            <w:tcW w:w="7600" w:type="dxa"/>
            <w:vAlign w:val="bottom"/>
          </w:tcPr>
          <w:p>
            <w:pPr>
              <w:jc w:val="right"/>
              <w:ind w:right="12"/>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18"/>
                <w:szCs w:val="18"/>
                <w:color w:val="auto"/>
              </w:rPr>
            </w:pPr>
          </w:p>
        </w:tc>
        <w:tc>
          <w:tcPr>
            <w:tcW w:w="7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Arising during the year</w:t>
            </w:r>
          </w:p>
        </w:tc>
        <w:tc>
          <w:tcPr>
            <w:tcW w:w="7600" w:type="dxa"/>
            <w:vAlign w:val="bottom"/>
          </w:tcPr>
          <w:p>
            <w:pPr>
              <w:jc w:val="right"/>
              <w:ind w:right="12"/>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7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1"/>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At 31 December 2012</w:t>
            </w:r>
          </w:p>
        </w:tc>
        <w:tc>
          <w:tcPr>
            <w:tcW w:w="7600" w:type="dxa"/>
            <w:vAlign w:val="bottom"/>
          </w:tcPr>
          <w:p>
            <w:pPr>
              <w:jc w:val="right"/>
              <w:ind w:right="12"/>
              <w:spacing w:after="0"/>
              <w:rPr>
                <w:sz w:val="20"/>
                <w:szCs w:val="20"/>
                <w:color w:val="auto"/>
              </w:rPr>
            </w:pPr>
            <w:r>
              <w:rPr>
                <w:rFonts w:ascii="Arial" w:cs="Arial" w:eastAsia="Arial" w:hAnsi="Arial"/>
                <w:sz w:val="18"/>
                <w:szCs w:val="18"/>
                <w:b w:val="1"/>
                <w:bCs w:val="1"/>
                <w:color w:val="auto"/>
              </w:rPr>
              <w:t>600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18"/>
                <w:szCs w:val="18"/>
                <w:color w:val="auto"/>
              </w:rPr>
            </w:pPr>
          </w:p>
        </w:tc>
        <w:tc>
          <w:tcPr>
            <w:tcW w:w="7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7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2012</w:t>
            </w:r>
          </w:p>
        </w:tc>
        <w:tc>
          <w:tcPr>
            <w:tcW w:w="7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05"/>
        </w:trPr>
        <w:tc>
          <w:tcPr>
            <w:tcW w:w="3820" w:type="dxa"/>
            <w:vAlign w:val="bottom"/>
            <w:gridSpan w:val="2"/>
          </w:tcPr>
          <w:p>
            <w:pPr>
              <w:spacing w:after="0"/>
              <w:rPr>
                <w:sz w:val="17"/>
                <w:szCs w:val="17"/>
                <w:color w:val="auto"/>
              </w:rPr>
            </w:pPr>
          </w:p>
        </w:tc>
        <w:tc>
          <w:tcPr>
            <w:tcW w:w="7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31 December 2011</w:t>
            </w:r>
          </w:p>
        </w:tc>
        <w:tc>
          <w:tcPr>
            <w:tcW w:w="7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600" w:type="dxa"/>
            <w:vAlign w:val="bottom"/>
          </w:tcPr>
          <w:p>
            <w:pPr>
              <w:jc w:val="right"/>
              <w:ind w:right="5492"/>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76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3. Investment in subsidiaries</w:t>
            </w:r>
          </w:p>
        </w:tc>
        <w:tc>
          <w:tcPr>
            <w:tcW w:w="37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b w:val="1"/>
                <w:bCs w:val="1"/>
                <w:color w:val="auto"/>
              </w:rPr>
              <w:t>Long Term</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760" w:type="dxa"/>
            <w:vAlign w:val="bottom"/>
          </w:tcPr>
          <w:p>
            <w:pPr>
              <w:jc w:val="right"/>
              <w:ind w:right="112"/>
              <w:spacing w:after="0"/>
              <w:rPr>
                <w:sz w:val="20"/>
                <w:szCs w:val="20"/>
                <w:color w:val="auto"/>
              </w:rPr>
            </w:pPr>
            <w:r>
              <w:rPr>
                <w:rFonts w:ascii="Arial" w:cs="Arial" w:eastAsia="Arial" w:hAnsi="Arial"/>
                <w:sz w:val="18"/>
                <w:szCs w:val="18"/>
                <w:b w:val="1"/>
                <w:bCs w:val="1"/>
                <w:color w:val="auto"/>
              </w:rPr>
              <w:t>Investment in</w:t>
            </w:r>
          </w:p>
        </w:tc>
        <w:tc>
          <w:tcPr>
            <w:tcW w:w="1400" w:type="dxa"/>
            <w:vAlign w:val="bottom"/>
          </w:tcPr>
          <w:p>
            <w:pPr>
              <w:jc w:val="right"/>
              <w:ind w:right="132"/>
              <w:spacing w:after="0"/>
              <w:rPr>
                <w:sz w:val="20"/>
                <w:szCs w:val="20"/>
                <w:color w:val="auto"/>
              </w:rPr>
            </w:pPr>
            <w:r>
              <w:rPr>
                <w:rFonts w:ascii="Arial" w:cs="Arial" w:eastAsia="Arial" w:hAnsi="Arial"/>
                <w:sz w:val="18"/>
                <w:szCs w:val="18"/>
                <w:b w:val="1"/>
                <w:bCs w:val="1"/>
                <w:color w:val="auto"/>
              </w:rPr>
              <w:t>Advances to</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760" w:type="dxa"/>
            <w:vAlign w:val="bottom"/>
          </w:tcPr>
          <w:p>
            <w:pPr>
              <w:jc w:val="right"/>
              <w:ind w:right="112"/>
              <w:spacing w:after="0"/>
              <w:rPr>
                <w:sz w:val="20"/>
                <w:szCs w:val="20"/>
                <w:color w:val="auto"/>
              </w:rPr>
            </w:pPr>
            <w:r>
              <w:rPr>
                <w:rFonts w:ascii="Arial" w:cs="Arial" w:eastAsia="Arial" w:hAnsi="Arial"/>
                <w:sz w:val="18"/>
                <w:szCs w:val="18"/>
                <w:b w:val="1"/>
                <w:bCs w:val="1"/>
                <w:color w:val="auto"/>
              </w:rPr>
              <w:t>Subsidiary</w:t>
            </w:r>
          </w:p>
        </w:tc>
        <w:tc>
          <w:tcPr>
            <w:tcW w:w="1400" w:type="dxa"/>
            <w:vAlign w:val="bottom"/>
          </w:tcPr>
          <w:p>
            <w:pPr>
              <w:jc w:val="right"/>
              <w:ind w:right="132"/>
              <w:spacing w:after="0"/>
              <w:rPr>
                <w:sz w:val="20"/>
                <w:szCs w:val="20"/>
                <w:color w:val="auto"/>
              </w:rPr>
            </w:pPr>
            <w:r>
              <w:rPr>
                <w:rFonts w:ascii="Arial" w:cs="Arial" w:eastAsia="Arial" w:hAnsi="Arial"/>
                <w:sz w:val="18"/>
                <w:szCs w:val="18"/>
                <w:b w:val="1"/>
                <w:bCs w:val="1"/>
                <w:color w:val="auto"/>
              </w:rPr>
              <w:t>Subsidiary</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760" w:type="dxa"/>
            <w:vAlign w:val="bottom"/>
          </w:tcPr>
          <w:p>
            <w:pPr>
              <w:jc w:val="right"/>
              <w:ind w:right="112"/>
              <w:spacing w:after="0"/>
              <w:rPr>
                <w:sz w:val="20"/>
                <w:szCs w:val="20"/>
                <w:color w:val="auto"/>
              </w:rPr>
            </w:pPr>
            <w:r>
              <w:rPr>
                <w:rFonts w:ascii="Arial" w:cs="Arial" w:eastAsia="Arial" w:hAnsi="Arial"/>
                <w:sz w:val="18"/>
                <w:szCs w:val="18"/>
                <w:b w:val="1"/>
                <w:bCs w:val="1"/>
                <w:color w:val="auto"/>
              </w:rPr>
              <w:t>Undertakings</w:t>
            </w:r>
          </w:p>
        </w:tc>
        <w:tc>
          <w:tcPr>
            <w:tcW w:w="1400" w:type="dxa"/>
            <w:vAlign w:val="bottom"/>
          </w:tcPr>
          <w:p>
            <w:pPr>
              <w:jc w:val="right"/>
              <w:ind w:right="132"/>
              <w:spacing w:after="0"/>
              <w:rPr>
                <w:sz w:val="20"/>
                <w:szCs w:val="20"/>
                <w:color w:val="auto"/>
              </w:rPr>
            </w:pPr>
            <w:r>
              <w:rPr>
                <w:rFonts w:ascii="Arial" w:cs="Arial" w:eastAsia="Arial" w:hAnsi="Arial"/>
                <w:sz w:val="18"/>
                <w:szCs w:val="18"/>
                <w:b w:val="1"/>
                <w:bCs w:val="1"/>
                <w:color w:val="auto"/>
              </w:rPr>
              <w:t>Undertakings</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376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400" w:type="dxa"/>
            <w:vAlign w:val="bottom"/>
          </w:tcPr>
          <w:p>
            <w:pPr>
              <w:jc w:val="right"/>
              <w:ind w:right="13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3"/>
        </w:trPr>
        <w:tc>
          <w:tcPr>
            <w:tcW w:w="5040" w:type="dxa"/>
            <w:vAlign w:val="bottom"/>
            <w:gridSpan w:val="2"/>
            <w:vMerge w:val="continue"/>
          </w:tcPr>
          <w:p>
            <w:pPr>
              <w:spacing w:after="0"/>
              <w:rPr>
                <w:sz w:val="18"/>
                <w:szCs w:val="18"/>
                <w:color w:val="auto"/>
              </w:rPr>
            </w:pPr>
          </w:p>
        </w:tc>
        <w:tc>
          <w:tcPr>
            <w:tcW w:w="3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2011</w:t>
            </w:r>
          </w:p>
        </w:tc>
        <w:tc>
          <w:tcPr>
            <w:tcW w:w="3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260,779</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75,357</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336,136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Imputed interest on long term intercompany loans</w:t>
            </w:r>
          </w:p>
        </w:tc>
        <w:tc>
          <w:tcPr>
            <w:tcW w:w="37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2,770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3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452</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Disposals</w:t>
            </w:r>
          </w:p>
        </w:tc>
        <w:tc>
          <w:tcPr>
            <w:tcW w:w="3760" w:type="dxa"/>
            <w:vAlign w:val="bottom"/>
          </w:tcPr>
          <w:p>
            <w:pPr>
              <w:jc w:val="right"/>
              <w:ind w:right="52"/>
              <w:spacing w:after="0"/>
              <w:rPr>
                <w:sz w:val="20"/>
                <w:szCs w:val="20"/>
                <w:color w:val="auto"/>
              </w:rPr>
            </w:pPr>
            <w:r>
              <w:rPr>
                <w:rFonts w:ascii="Arial" w:cs="Arial" w:eastAsia="Arial" w:hAnsi="Arial"/>
                <w:sz w:val="18"/>
                <w:szCs w:val="18"/>
                <w:color w:val="auto"/>
              </w:rPr>
              <w:t>(30,885)</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(30,885)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3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(391)</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Share based payment</w:t>
            </w:r>
          </w:p>
        </w:tc>
        <w:tc>
          <w:tcPr>
            <w:tcW w:w="3760" w:type="dxa"/>
            <w:vAlign w:val="bottom"/>
          </w:tcPr>
          <w:p>
            <w:pPr>
              <w:jc w:val="right"/>
              <w:ind w:right="112"/>
              <w:spacing w:after="0"/>
              <w:rPr>
                <w:sz w:val="20"/>
                <w:szCs w:val="20"/>
                <w:color w:val="auto"/>
              </w:rPr>
            </w:pPr>
            <w:r>
              <w:rPr>
                <w:rFonts w:ascii="Arial" w:cs="Arial" w:eastAsia="Arial" w:hAnsi="Arial"/>
                <w:sz w:val="18"/>
                <w:szCs w:val="18"/>
                <w:color w:val="auto"/>
              </w:rPr>
              <w:t>7,420</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7,420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3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(5,356)</w:t>
            </w:r>
          </w:p>
        </w:tc>
        <w:tc>
          <w:tcPr>
            <w:tcW w:w="1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(4,982)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0" w:type="dxa"/>
            <w:vAlign w:val="bottom"/>
          </w:tcPr>
          <w:p>
            <w:pPr>
              <w:spacing w:after="0"/>
              <w:rPr>
                <w:sz w:val="1"/>
                <w:szCs w:val="1"/>
                <w:color w:val="auto"/>
              </w:rPr>
            </w:pPr>
          </w:p>
        </w:tc>
      </w:tr>
      <w:tr>
        <w:trPr>
          <w:trHeight w:val="431"/>
        </w:trPr>
        <w:tc>
          <w:tcPr>
            <w:tcW w:w="5040" w:type="dxa"/>
            <w:vAlign w:val="bottom"/>
            <w:gridSpan w:val="2"/>
          </w:tcPr>
          <w:p>
            <w:pPr>
              <w:spacing w:after="0"/>
              <w:rPr>
                <w:sz w:val="20"/>
                <w:szCs w:val="20"/>
                <w:color w:val="auto"/>
              </w:rPr>
            </w:pPr>
            <w:r>
              <w:rPr>
                <w:rFonts w:ascii="Arial" w:cs="Arial" w:eastAsia="Arial" w:hAnsi="Arial"/>
                <w:sz w:val="18"/>
                <w:szCs w:val="18"/>
                <w:color w:val="auto"/>
              </w:rPr>
              <w:t>At 31 December 2011</w:t>
            </w:r>
          </w:p>
        </w:tc>
        <w:tc>
          <w:tcPr>
            <w:tcW w:w="3760" w:type="dxa"/>
            <w:vAlign w:val="bottom"/>
          </w:tcPr>
          <w:p>
            <w:pPr>
              <w:jc w:val="right"/>
              <w:ind w:right="112"/>
              <w:spacing w:after="0"/>
              <w:rPr>
                <w:sz w:val="20"/>
                <w:szCs w:val="20"/>
                <w:color w:val="auto"/>
              </w:rPr>
            </w:pPr>
            <w:r>
              <w:rPr>
                <w:rFonts w:ascii="Arial" w:cs="Arial" w:eastAsia="Arial" w:hAnsi="Arial"/>
                <w:sz w:val="18"/>
                <w:szCs w:val="18"/>
                <w:color w:val="auto"/>
              </w:rPr>
              <w:t>232,019</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73,145</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305,164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20" w:type="dxa"/>
            <w:vAlign w:val="bottom"/>
            <w:tcBorders>
              <w:top w:val="single" w:sz="8" w:color="auto"/>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Imputed interest on long term intercompany loans</w:t>
            </w:r>
          </w:p>
        </w:tc>
        <w:tc>
          <w:tcPr>
            <w:tcW w:w="37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2,678</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3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46,480</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46,480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Share based payment</w:t>
            </w:r>
          </w:p>
        </w:tc>
        <w:tc>
          <w:tcPr>
            <w:tcW w:w="3760" w:type="dxa"/>
            <w:vAlign w:val="bottom"/>
          </w:tcPr>
          <w:p>
            <w:pPr>
              <w:jc w:val="right"/>
              <w:ind w:right="112"/>
              <w:spacing w:after="0"/>
              <w:rPr>
                <w:sz w:val="20"/>
                <w:szCs w:val="20"/>
                <w:color w:val="auto"/>
              </w:rPr>
            </w:pPr>
            <w:r>
              <w:rPr>
                <w:rFonts w:ascii="Arial" w:cs="Arial" w:eastAsia="Arial" w:hAnsi="Arial"/>
                <w:sz w:val="18"/>
                <w:szCs w:val="18"/>
                <w:color w:val="auto"/>
              </w:rPr>
              <w:t>6,551</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Amounts recharged to group undertakings</w:t>
            </w:r>
          </w:p>
        </w:tc>
        <w:tc>
          <w:tcPr>
            <w:tcW w:w="3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(4,765)</w:t>
            </w: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5,500</w:t>
            </w:r>
          </w:p>
        </w:tc>
        <w:tc>
          <w:tcPr>
            <w:tcW w:w="1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1,375</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6,875</w:t>
            </w: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2012</w:t>
            </w:r>
          </w:p>
        </w:tc>
        <w:tc>
          <w:tcPr>
            <w:tcW w:w="37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285,785</w:t>
            </w: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77,198</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362,983</w:t>
            </w:r>
          </w:p>
        </w:tc>
        <w:tc>
          <w:tcPr>
            <w:tcW w:w="0" w:type="dxa"/>
            <w:vAlign w:val="bottom"/>
          </w:tcPr>
          <w:p>
            <w:pPr>
              <w:spacing w:after="0"/>
              <w:rPr>
                <w:sz w:val="1"/>
                <w:szCs w:val="1"/>
                <w:color w:val="auto"/>
              </w:rPr>
            </w:pPr>
          </w:p>
        </w:tc>
      </w:tr>
      <w:tr>
        <w:trPr>
          <w:trHeight w:val="4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4. Deferred taxation</w:t>
            </w:r>
          </w:p>
        </w:tc>
        <w:tc>
          <w:tcPr>
            <w:tcW w:w="3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040" w:type="dxa"/>
            <w:vAlign w:val="bottom"/>
            <w:gridSpan w:val="2"/>
          </w:tcPr>
          <w:p>
            <w:pPr>
              <w:spacing w:after="0"/>
              <w:rPr>
                <w:sz w:val="20"/>
                <w:szCs w:val="20"/>
                <w:color w:val="auto"/>
              </w:rPr>
            </w:pPr>
            <w:r>
              <w:rPr>
                <w:rFonts w:ascii="Arial" w:cs="Arial" w:eastAsia="Arial" w:hAnsi="Arial"/>
                <w:sz w:val="18"/>
                <w:szCs w:val="18"/>
                <w:color w:val="auto"/>
                <w:w w:val="97"/>
              </w:rPr>
              <w:t>The net deferred tax asset at 31 December 2012 was as follows:</w:t>
            </w:r>
          </w:p>
        </w:tc>
        <w:tc>
          <w:tcPr>
            <w:tcW w:w="3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taxation assets</w:t>
            </w:r>
          </w:p>
        </w:tc>
        <w:tc>
          <w:tcPr>
            <w:tcW w:w="3760" w:type="dxa"/>
            <w:vAlign w:val="bottom"/>
          </w:tcPr>
          <w:p>
            <w:pPr>
              <w:spacing w:after="0"/>
              <w:rPr>
                <w:sz w:val="19"/>
                <w:szCs w:val="19"/>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2"/>
        </w:trPr>
        <w:tc>
          <w:tcPr>
            <w:tcW w:w="5040" w:type="dxa"/>
            <w:vAlign w:val="bottom"/>
            <w:gridSpan w:val="2"/>
            <w:vMerge w:val="continue"/>
          </w:tcPr>
          <w:p>
            <w:pPr>
              <w:spacing w:after="0"/>
              <w:rPr>
                <w:sz w:val="18"/>
                <w:szCs w:val="18"/>
                <w:color w:val="auto"/>
              </w:rPr>
            </w:pPr>
          </w:p>
        </w:tc>
        <w:tc>
          <w:tcPr>
            <w:tcW w:w="3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payments on account</w:t>
            </w:r>
          </w:p>
        </w:tc>
        <w:tc>
          <w:tcPr>
            <w:tcW w:w="37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77</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760" w:type="dxa"/>
            <w:vAlign w:val="bottom"/>
          </w:tcPr>
          <w:p>
            <w:pPr>
              <w:spacing w:after="0"/>
              <w:rPr>
                <w:sz w:val="18"/>
                <w:szCs w:val="18"/>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b w:val="1"/>
                <w:bCs w:val="1"/>
                <w:color w:val="auto"/>
              </w:rPr>
              <w:t>213</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37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Loans to subsidiaries</w:t>
            </w:r>
          </w:p>
        </w:tc>
        <w:tc>
          <w:tcPr>
            <w:tcW w:w="37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142</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deferred taxation assets</w:t>
            </w:r>
          </w:p>
        </w:tc>
        <w:tc>
          <w:tcPr>
            <w:tcW w:w="37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432</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Deferred taxation liabilities</w:t>
            </w:r>
          </w:p>
        </w:tc>
        <w:tc>
          <w:tcPr>
            <w:tcW w:w="3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7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Accrued expenses and payments on account</w:t>
            </w:r>
          </w:p>
        </w:tc>
        <w:tc>
          <w:tcPr>
            <w:tcW w:w="37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deferred taxation liabilities</w:t>
            </w:r>
          </w:p>
        </w:tc>
        <w:tc>
          <w:tcPr>
            <w:tcW w:w="37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(36)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deferred taxation asset</w:t>
            </w:r>
          </w:p>
        </w:tc>
        <w:tc>
          <w:tcPr>
            <w:tcW w:w="37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396</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760" w:type="dxa"/>
            <w:vAlign w:val="bottom"/>
          </w:tcPr>
          <w:p>
            <w:pPr>
              <w:jc w:val="right"/>
              <w:ind w:right="2872"/>
              <w:spacing w:after="0"/>
              <w:rPr>
                <w:sz w:val="20"/>
                <w:szCs w:val="20"/>
                <w:color w:val="auto"/>
              </w:rPr>
            </w:pPr>
            <w:r>
              <w:rPr>
                <w:rFonts w:ascii="Arial" w:cs="Arial" w:eastAsia="Arial" w:hAnsi="Arial"/>
                <w:sz w:val="18"/>
                <w:szCs w:val="18"/>
                <w:color w:val="auto"/>
              </w:rPr>
              <w:t>108</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Deferred taxation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temporary differences during the year ended 31 December 2012 and year ended 31 December 2011 was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320" w:type="dxa"/>
            <w:vAlign w:val="bottom"/>
          </w:tcPr>
          <w:p>
            <w:pPr>
              <w:jc w:val="right"/>
              <w:ind w:right="112"/>
              <w:spacing w:after="0"/>
              <w:rPr>
                <w:sz w:val="20"/>
                <w:szCs w:val="20"/>
                <w:color w:val="auto"/>
              </w:rPr>
            </w:pPr>
            <w:r>
              <w:rPr>
                <w:rFonts w:ascii="Arial" w:cs="Arial" w:eastAsia="Arial" w:hAnsi="Arial"/>
                <w:sz w:val="18"/>
                <w:szCs w:val="18"/>
                <w:b w:val="1"/>
                <w:bCs w:val="1"/>
                <w:color w:val="auto"/>
              </w:rPr>
              <w:t>Balance</w:t>
            </w:r>
          </w:p>
        </w:tc>
        <w:tc>
          <w:tcPr>
            <w:tcW w:w="138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320" w:type="dxa"/>
            <w:vAlign w:val="bottom"/>
          </w:tcPr>
          <w:p>
            <w:pPr>
              <w:jc w:val="right"/>
              <w:ind w:right="112"/>
              <w:spacing w:after="0"/>
              <w:rPr>
                <w:sz w:val="20"/>
                <w:szCs w:val="20"/>
                <w:color w:val="auto"/>
              </w:rPr>
            </w:pPr>
            <w:r>
              <w:rPr>
                <w:rFonts w:ascii="Arial" w:cs="Arial" w:eastAsia="Arial" w:hAnsi="Arial"/>
                <w:sz w:val="18"/>
                <w:szCs w:val="18"/>
                <w:b w:val="1"/>
                <w:bCs w:val="1"/>
                <w:color w:val="auto"/>
              </w:rPr>
              <w:t>1 January</w:t>
            </w:r>
          </w:p>
        </w:tc>
        <w:tc>
          <w:tcPr>
            <w:tcW w:w="1380" w:type="dxa"/>
            <w:vAlign w:val="bottom"/>
          </w:tcPr>
          <w:p>
            <w:pPr>
              <w:jc w:val="right"/>
              <w:ind w:right="112"/>
              <w:spacing w:after="0"/>
              <w:rPr>
                <w:sz w:val="20"/>
                <w:szCs w:val="20"/>
                <w:color w:val="auto"/>
              </w:rPr>
            </w:pPr>
            <w:r>
              <w:rPr>
                <w:rFonts w:ascii="Arial" w:cs="Arial" w:eastAsia="Arial" w:hAnsi="Arial"/>
                <w:sz w:val="18"/>
                <w:szCs w:val="18"/>
                <w:b w:val="1"/>
                <w:bCs w:val="1"/>
                <w:color w:val="auto"/>
                <w:w w:val="94"/>
              </w:rPr>
              <w:t>Recognised in</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32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380" w:type="dxa"/>
            <w:vAlign w:val="bottom"/>
          </w:tcPr>
          <w:p>
            <w:pPr>
              <w:jc w:val="right"/>
              <w:ind w:right="112"/>
              <w:spacing w:after="0"/>
              <w:rPr>
                <w:sz w:val="20"/>
                <w:szCs w:val="20"/>
                <w:color w:val="auto"/>
              </w:rPr>
            </w:pPr>
            <w:r>
              <w:rPr>
                <w:rFonts w:ascii="Arial" w:cs="Arial" w:eastAsia="Arial" w:hAnsi="Arial"/>
                <w:sz w:val="18"/>
                <w:szCs w:val="18"/>
                <w:b w:val="1"/>
                <w:bCs w:val="1"/>
                <w:color w:val="auto"/>
              </w:rPr>
              <w:t>Income</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29"/>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taxation assets</w:t>
            </w:r>
          </w:p>
        </w:tc>
        <w:tc>
          <w:tcPr>
            <w:tcW w:w="332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2"/>
        </w:trPr>
        <w:tc>
          <w:tcPr>
            <w:tcW w:w="5480" w:type="dxa"/>
            <w:vAlign w:val="bottom"/>
            <w:gridSpan w:val="2"/>
            <w:vMerge w:val="continue"/>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payments on account</w:t>
            </w:r>
          </w:p>
        </w:tc>
        <w:tc>
          <w:tcPr>
            <w:tcW w:w="3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181</w:t>
            </w:r>
          </w:p>
        </w:tc>
        <w:tc>
          <w:tcPr>
            <w:tcW w:w="1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(104)</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320" w:type="dxa"/>
            <w:vAlign w:val="bottom"/>
          </w:tcPr>
          <w:p>
            <w:pPr>
              <w:jc w:val="right"/>
              <w:ind w:right="112"/>
              <w:spacing w:after="0"/>
              <w:rPr>
                <w:sz w:val="20"/>
                <w:szCs w:val="20"/>
                <w:color w:val="auto"/>
              </w:rPr>
            </w:pPr>
            <w:r>
              <w:rPr>
                <w:rFonts w:ascii="Arial" w:cs="Arial" w:eastAsia="Arial" w:hAnsi="Arial"/>
                <w:sz w:val="18"/>
                <w:szCs w:val="18"/>
                <w:color w:val="auto"/>
              </w:rPr>
              <w:t>6</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207</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payments</w:t>
            </w:r>
          </w:p>
        </w:tc>
        <w:tc>
          <w:tcPr>
            <w:tcW w:w="3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30</w:t>
            </w:r>
          </w:p>
        </w:tc>
        <w:tc>
          <w:tcPr>
            <w:tcW w:w="1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(30)</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Loans to subsidiaries</w:t>
            </w:r>
          </w:p>
        </w:tc>
        <w:tc>
          <w:tcPr>
            <w:tcW w:w="3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477</w:t>
            </w:r>
          </w:p>
        </w:tc>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(335)</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deferred taxation assets</w:t>
            </w:r>
          </w:p>
        </w:tc>
        <w:tc>
          <w:tcPr>
            <w:tcW w:w="3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694</w:t>
            </w:r>
          </w:p>
        </w:tc>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(262)</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432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Deferred taxation liabilities</w:t>
            </w: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w:t>
            </w:r>
          </w:p>
        </w:tc>
        <w:tc>
          <w:tcPr>
            <w:tcW w:w="1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Accrued expenses and payments on account</w:t>
            </w:r>
          </w:p>
        </w:tc>
        <w:tc>
          <w:tcPr>
            <w:tcW w:w="3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w:t>
            </w:r>
          </w:p>
        </w:tc>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deferred taxation liabilities</w:t>
            </w:r>
          </w:p>
        </w:tc>
        <w:tc>
          <w:tcPr>
            <w:tcW w:w="3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(28)</w:t>
            </w:r>
          </w:p>
        </w:tc>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deferred taxation asset</w:t>
            </w:r>
          </w:p>
        </w:tc>
        <w:tc>
          <w:tcPr>
            <w:tcW w:w="3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666</w:t>
            </w:r>
          </w:p>
        </w:tc>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(270)</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320" w:type="dxa"/>
            <w:vAlign w:val="bottom"/>
          </w:tcPr>
          <w:p>
            <w:pPr>
              <w:jc w:val="right"/>
              <w:ind w:right="112"/>
              <w:spacing w:after="0"/>
              <w:rPr>
                <w:sz w:val="20"/>
                <w:szCs w:val="20"/>
                <w:color w:val="auto"/>
              </w:rPr>
            </w:pPr>
            <w:r>
              <w:rPr>
                <w:rFonts w:ascii="Arial" w:cs="Arial" w:eastAsia="Arial" w:hAnsi="Arial"/>
                <w:sz w:val="18"/>
                <w:szCs w:val="18"/>
                <w:b w:val="1"/>
                <w:bCs w:val="1"/>
                <w:color w:val="auto"/>
              </w:rPr>
              <w:t>Balance</w:t>
            </w:r>
          </w:p>
        </w:tc>
        <w:tc>
          <w:tcPr>
            <w:tcW w:w="138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320" w:type="dxa"/>
            <w:vAlign w:val="bottom"/>
          </w:tcPr>
          <w:p>
            <w:pPr>
              <w:jc w:val="right"/>
              <w:ind w:right="112"/>
              <w:spacing w:after="0"/>
              <w:rPr>
                <w:sz w:val="20"/>
                <w:szCs w:val="20"/>
                <w:color w:val="auto"/>
              </w:rPr>
            </w:pPr>
            <w:r>
              <w:rPr>
                <w:rFonts w:ascii="Arial" w:cs="Arial" w:eastAsia="Arial" w:hAnsi="Arial"/>
                <w:sz w:val="18"/>
                <w:szCs w:val="18"/>
                <w:b w:val="1"/>
                <w:bCs w:val="1"/>
                <w:color w:val="auto"/>
              </w:rPr>
              <w:t>1 January</w:t>
            </w:r>
          </w:p>
        </w:tc>
        <w:tc>
          <w:tcPr>
            <w:tcW w:w="1380" w:type="dxa"/>
            <w:vAlign w:val="bottom"/>
          </w:tcPr>
          <w:p>
            <w:pPr>
              <w:jc w:val="right"/>
              <w:ind w:right="112"/>
              <w:spacing w:after="0"/>
              <w:rPr>
                <w:sz w:val="20"/>
                <w:szCs w:val="20"/>
                <w:color w:val="auto"/>
              </w:rPr>
            </w:pPr>
            <w:r>
              <w:rPr>
                <w:rFonts w:ascii="Arial" w:cs="Arial" w:eastAsia="Arial" w:hAnsi="Arial"/>
                <w:sz w:val="18"/>
                <w:szCs w:val="18"/>
                <w:b w:val="1"/>
                <w:bCs w:val="1"/>
                <w:color w:val="auto"/>
                <w:w w:val="94"/>
              </w:rPr>
              <w:t>Recognised in</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320" w:type="dxa"/>
            <w:vAlign w:val="bottom"/>
          </w:tcPr>
          <w:p>
            <w:pPr>
              <w:jc w:val="right"/>
              <w:ind w:right="112"/>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12"/>
              <w:spacing w:after="0"/>
              <w:rPr>
                <w:sz w:val="20"/>
                <w:szCs w:val="20"/>
                <w:color w:val="auto"/>
              </w:rPr>
            </w:pPr>
            <w:r>
              <w:rPr>
                <w:rFonts w:ascii="Arial" w:cs="Arial" w:eastAsia="Arial" w:hAnsi="Arial"/>
                <w:sz w:val="18"/>
                <w:szCs w:val="18"/>
                <w:b w:val="1"/>
                <w:bCs w:val="1"/>
                <w:color w:val="auto"/>
              </w:rPr>
              <w:t>Income</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29"/>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taxation assets</w:t>
            </w:r>
          </w:p>
        </w:tc>
        <w:tc>
          <w:tcPr>
            <w:tcW w:w="332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2"/>
        </w:trPr>
        <w:tc>
          <w:tcPr>
            <w:tcW w:w="5480" w:type="dxa"/>
            <w:vAlign w:val="bottom"/>
            <w:gridSpan w:val="2"/>
            <w:vMerge w:val="continue"/>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payments on account</w:t>
            </w:r>
          </w:p>
        </w:tc>
        <w:tc>
          <w:tcPr>
            <w:tcW w:w="3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245</w:t>
            </w:r>
          </w:p>
        </w:tc>
        <w:tc>
          <w:tcPr>
            <w:tcW w:w="1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(64)</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320" w:type="dxa"/>
            <w:vAlign w:val="bottom"/>
          </w:tcPr>
          <w:p>
            <w:pPr>
              <w:jc w:val="right"/>
              <w:ind w:right="112"/>
              <w:spacing w:after="0"/>
              <w:rPr>
                <w:sz w:val="20"/>
                <w:szCs w:val="20"/>
                <w:color w:val="auto"/>
              </w:rPr>
            </w:pPr>
            <w:r>
              <w:rPr>
                <w:rFonts w:ascii="Arial" w:cs="Arial" w:eastAsia="Arial" w:hAnsi="Arial"/>
                <w:sz w:val="18"/>
                <w:szCs w:val="18"/>
                <w:color w:val="auto"/>
              </w:rPr>
              <w:t>33</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payments</w:t>
            </w:r>
          </w:p>
        </w:tc>
        <w:tc>
          <w:tcPr>
            <w:tcW w:w="3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30</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Loans to subsidiaries</w:t>
            </w:r>
          </w:p>
        </w:tc>
        <w:tc>
          <w:tcPr>
            <w:tcW w:w="3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808</w:t>
            </w:r>
          </w:p>
        </w:tc>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(331)</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deferred taxation assets</w:t>
            </w:r>
          </w:p>
        </w:tc>
        <w:tc>
          <w:tcPr>
            <w:tcW w:w="3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1,086</w:t>
            </w:r>
          </w:p>
        </w:tc>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(392)</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Deferred taxation liabilities</w:t>
            </w: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w:t>
            </w:r>
          </w:p>
        </w:tc>
        <w:tc>
          <w:tcPr>
            <w:tcW w:w="1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Accrued expenses and payments on account</w:t>
            </w:r>
          </w:p>
        </w:tc>
        <w:tc>
          <w:tcPr>
            <w:tcW w:w="3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w:t>
            </w:r>
          </w:p>
        </w:tc>
        <w:tc>
          <w:tcPr>
            <w:tcW w:w="13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deferred taxation liabilities</w:t>
            </w:r>
          </w:p>
        </w:tc>
        <w:tc>
          <w:tcPr>
            <w:tcW w:w="3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w:t>
            </w:r>
          </w:p>
        </w:tc>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deferred taxation asset</w:t>
            </w:r>
          </w:p>
        </w:tc>
        <w:tc>
          <w:tcPr>
            <w:tcW w:w="3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1,071</w:t>
            </w:r>
          </w:p>
        </w:tc>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(405)</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50" w:lineRule="auto"/>
        <w:rPr>
          <w:sz w:val="20"/>
          <w:szCs w:val="20"/>
          <w:color w:val="auto"/>
        </w:rPr>
      </w:pPr>
      <w:r>
        <w:rPr>
          <w:rFonts w:ascii="Arial" w:cs="Arial" w:eastAsia="Arial" w:hAnsi="Arial"/>
          <w:sz w:val="18"/>
          <w:szCs w:val="18"/>
          <w:color w:val="auto"/>
        </w:rPr>
        <w:t>At 31 December 2012 and 31 December 2011 the Company had no operating loss carry forwards for income tax purposes and there were no deferred tax assets that have not been recognised</w:t>
      </w:r>
      <w:r>
        <w:rPr>
          <w:rFonts w:ascii="Arial" w:cs="Arial" w:eastAsia="Arial" w:hAnsi="Arial"/>
          <w:sz w:val="18"/>
          <w:szCs w:val="18"/>
          <w:b w:val="1"/>
          <w:bCs w:val="1"/>
          <w:color w:val="auto"/>
        </w:rPr>
        <w: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5. Other current assets</w:t>
            </w:r>
          </w:p>
        </w:tc>
        <w:tc>
          <w:tcPr>
            <w:tcW w:w="1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680" w:type="dxa"/>
            <w:vAlign w:val="bottom"/>
          </w:tcPr>
          <w:p>
            <w:pPr>
              <w:jc w:val="right"/>
              <w:ind w:right="112"/>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68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168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16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1,640</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receivables</w:t>
            </w:r>
          </w:p>
        </w:tc>
        <w:tc>
          <w:tcPr>
            <w:tcW w:w="1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1,578</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3,218</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6. Accrued and other liabilities</w:t>
            </w: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680" w:type="dxa"/>
            <w:vAlign w:val="bottom"/>
          </w:tcPr>
          <w:p>
            <w:pPr>
              <w:jc w:val="right"/>
              <w:ind w:right="112"/>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68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8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Non-current other liabilities</w:t>
            </w:r>
          </w:p>
        </w:tc>
        <w:tc>
          <w:tcPr>
            <w:tcW w:w="168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2"/>
        </w:trPr>
        <w:tc>
          <w:tcPr>
            <w:tcW w:w="848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other liabilities</w:t>
            </w:r>
          </w:p>
        </w:tc>
        <w:tc>
          <w:tcPr>
            <w:tcW w:w="16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4,967</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8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4,967</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4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Accruals and other liabilities</w:t>
            </w:r>
          </w:p>
        </w:tc>
        <w:tc>
          <w:tcPr>
            <w:tcW w:w="1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8,185</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9,238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8,185</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7. Payroll and related benefits</w:t>
            </w: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8480" w:type="dxa"/>
            <w:vAlign w:val="bottom"/>
            <w:gridSpan w:val="2"/>
          </w:tcPr>
          <w:p>
            <w:pPr>
              <w:spacing w:after="0"/>
              <w:rPr>
                <w:sz w:val="20"/>
                <w:szCs w:val="20"/>
                <w:color w:val="auto"/>
              </w:rPr>
            </w:pPr>
            <w:r>
              <w:rPr>
                <w:rFonts w:ascii="Arial" w:cs="Arial" w:eastAsia="Arial" w:hAnsi="Arial"/>
                <w:sz w:val="18"/>
                <w:szCs w:val="18"/>
                <w:color w:val="auto"/>
                <w:w w:val="93"/>
              </w:rPr>
              <w:t>The aggregate payroll costs of employees of the Company for the year ended 31 December 2012 was as follows:</w:t>
            </w: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680" w:type="dxa"/>
            <w:vAlign w:val="bottom"/>
          </w:tcPr>
          <w:p>
            <w:pPr>
              <w:jc w:val="right"/>
              <w:ind w:right="112"/>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680" w:type="dxa"/>
            <w:vAlign w:val="bottom"/>
          </w:tcPr>
          <w:p>
            <w:pPr>
              <w:jc w:val="right"/>
              <w:ind w:right="112"/>
              <w:spacing w:after="0"/>
              <w:rPr>
                <w:sz w:val="20"/>
                <w:szCs w:val="20"/>
                <w:color w:val="auto"/>
              </w:rPr>
            </w:pPr>
            <w:r>
              <w:rPr>
                <w:rFonts w:ascii="Arial" w:cs="Arial" w:eastAsia="Arial" w:hAnsi="Arial"/>
                <w:sz w:val="18"/>
                <w:szCs w:val="18"/>
                <w:b w:val="1"/>
                <w:bCs w:val="1"/>
                <w:color w:val="auto"/>
              </w:rPr>
              <w:t>31 December</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68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1680" w:type="dxa"/>
            <w:vAlign w:val="bottom"/>
          </w:tcPr>
          <w:p>
            <w:pPr>
              <w:jc w:val="right"/>
              <w:ind w:right="112"/>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16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30,004</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28,819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Social welfare costs</w:t>
            </w:r>
          </w:p>
        </w:tc>
        <w:tc>
          <w:tcPr>
            <w:tcW w:w="1680" w:type="dxa"/>
            <w:vAlign w:val="bottom"/>
          </w:tcPr>
          <w:p>
            <w:pPr>
              <w:jc w:val="right"/>
              <w:ind w:right="112"/>
              <w:spacing w:after="0"/>
              <w:rPr>
                <w:sz w:val="20"/>
                <w:szCs w:val="20"/>
                <w:color w:val="auto"/>
              </w:rPr>
            </w:pPr>
            <w:r>
              <w:rPr>
                <w:rFonts w:ascii="Arial" w:cs="Arial" w:eastAsia="Arial" w:hAnsi="Arial"/>
                <w:sz w:val="18"/>
                <w:szCs w:val="18"/>
                <w:b w:val="1"/>
                <w:bCs w:val="1"/>
                <w:color w:val="auto"/>
              </w:rPr>
              <w:t>5,403</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5,374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Pension costs for defined contribution pension schemes</w:t>
            </w:r>
          </w:p>
        </w:tc>
        <w:tc>
          <w:tcPr>
            <w:tcW w:w="16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1,163</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based payment</w:t>
            </w:r>
          </w:p>
        </w:tc>
        <w:tc>
          <w:tcPr>
            <w:tcW w:w="1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3,666</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40,236</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employees of the Company are eligible to participate in a defined contribution plan (the "plan"). Participants in the Plan may elect to defer a portion of their pre-tax earnings into a pension plan, which is run by an independent party. The Company matches each participant's contributions typically at 6% of the participant's annual compensation. The Company also makes contributions for Directors and Executive officers at rates ranging from 10% to 15% of the individual’s basic salary. Contributions to this plan are recorded as a remuneration expense in the Company Income Statement. Contributions for the year ended 31 December 2012 and the year ended 31 December 2011 were $1,163,000 and $1,179,000 respectively.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Payroll and related benefits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average number of employees, including executive Directors, employed by the Company for the year ending 31 December 2012 was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200" w:type="dxa"/>
            <w:vAlign w:val="bottom"/>
          </w:tcPr>
          <w:p>
            <w:pPr>
              <w:jc w:val="right"/>
              <w:ind w:right="152"/>
              <w:spacing w:after="0"/>
              <w:rPr>
                <w:sz w:val="20"/>
                <w:szCs w:val="20"/>
                <w:color w:val="auto"/>
              </w:rPr>
            </w:pPr>
            <w:r>
              <w:rPr>
                <w:rFonts w:ascii="Arial" w:cs="Arial" w:eastAsia="Arial" w:hAnsi="Arial"/>
                <w:sz w:val="18"/>
                <w:szCs w:val="18"/>
                <w:b w:val="1"/>
                <w:bCs w:val="1"/>
                <w:color w:val="auto"/>
              </w:rPr>
              <w:t>Year ended</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20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220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22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Administration</w:t>
            </w:r>
          </w:p>
        </w:tc>
        <w:tc>
          <w:tcPr>
            <w:tcW w:w="2200" w:type="dxa"/>
            <w:vAlign w:val="bottom"/>
          </w:tcPr>
          <w:p>
            <w:pPr>
              <w:jc w:val="right"/>
              <w:ind w:right="152"/>
              <w:spacing w:after="0"/>
              <w:rPr>
                <w:sz w:val="20"/>
                <w:szCs w:val="20"/>
                <w:color w:val="auto"/>
              </w:rPr>
            </w:pPr>
            <w:r>
              <w:rPr>
                <w:rFonts w:ascii="Arial" w:cs="Arial" w:eastAsia="Arial" w:hAnsi="Arial"/>
                <w:sz w:val="18"/>
                <w:szCs w:val="18"/>
                <w:b w:val="1"/>
                <w:bCs w:val="1"/>
                <w:color w:val="auto"/>
              </w:rPr>
              <w:t>72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2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413</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488</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443"/>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8. Related parties</w:t>
            </w:r>
          </w:p>
        </w:tc>
        <w:tc>
          <w:tcPr>
            <w:tcW w:w="2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8000" w:type="dxa"/>
            <w:vAlign w:val="bottom"/>
            <w:gridSpan w:val="2"/>
          </w:tcPr>
          <w:p>
            <w:pPr>
              <w:spacing w:after="0"/>
              <w:rPr>
                <w:sz w:val="20"/>
                <w:szCs w:val="20"/>
                <w:color w:val="auto"/>
              </w:rPr>
            </w:pPr>
            <w:r>
              <w:rPr>
                <w:rFonts w:ascii="Arial" w:cs="Arial" w:eastAsia="Arial" w:hAnsi="Arial"/>
                <w:sz w:val="18"/>
                <w:szCs w:val="18"/>
                <w:color w:val="auto"/>
              </w:rPr>
              <w:t>The Company entered into the following transactions with subsidiary companies during the period:</w:t>
            </w:r>
          </w:p>
        </w:tc>
        <w:tc>
          <w:tcPr>
            <w:tcW w:w="2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200" w:type="dxa"/>
            <w:vAlign w:val="bottom"/>
          </w:tcPr>
          <w:p>
            <w:pPr>
              <w:jc w:val="right"/>
              <w:ind w:right="152"/>
              <w:spacing w:after="0"/>
              <w:rPr>
                <w:sz w:val="20"/>
                <w:szCs w:val="20"/>
                <w:color w:val="auto"/>
              </w:rPr>
            </w:pPr>
            <w:r>
              <w:rPr>
                <w:rFonts w:ascii="Arial" w:cs="Arial" w:eastAsia="Arial" w:hAnsi="Arial"/>
                <w:sz w:val="18"/>
                <w:szCs w:val="18"/>
                <w:b w:val="1"/>
                <w:bCs w:val="1"/>
                <w:color w:val="auto"/>
              </w:rPr>
              <w:t>Year ended</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20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20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Statement</w:t>
            </w:r>
          </w:p>
        </w:tc>
        <w:tc>
          <w:tcPr>
            <w:tcW w:w="220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2"/>
        </w:trPr>
        <w:tc>
          <w:tcPr>
            <w:tcW w:w="8000" w:type="dxa"/>
            <w:vAlign w:val="bottom"/>
            <w:gridSpan w:val="2"/>
            <w:vMerge w:val="continue"/>
          </w:tcPr>
          <w:p>
            <w:pPr>
              <w:spacing w:after="0"/>
              <w:rPr>
                <w:sz w:val="18"/>
                <w:szCs w:val="18"/>
                <w:color w:val="auto"/>
              </w:rPr>
            </w:pPr>
          </w:p>
        </w:tc>
        <w:tc>
          <w:tcPr>
            <w:tcW w:w="2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Expenses recharged to subsidiary companies</w:t>
            </w:r>
          </w:p>
        </w:tc>
        <w:tc>
          <w:tcPr>
            <w:tcW w:w="22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30,060</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22,454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Imputed interest charged to subsidiary companies</w:t>
            </w:r>
          </w:p>
        </w:tc>
        <w:tc>
          <w:tcPr>
            <w:tcW w:w="22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2,678</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2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32,728</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Cash Flow Statement</w:t>
            </w:r>
          </w:p>
        </w:tc>
        <w:tc>
          <w:tcPr>
            <w:tcW w:w="2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Increase in intercompany debtor</w:t>
            </w:r>
          </w:p>
        </w:tc>
        <w:tc>
          <w:tcPr>
            <w:tcW w:w="2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(7,140)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(62,380)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(7,140)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(62,380)</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Directors and Executive Officers of the Parent Company are the same as those for the Group. For information on transactions with Directors and Executive Officers see note 29 to the Group financial statements, and for information on Directors’ remuneration see note 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4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is not party to any litigation or other legal proceedings that the Company believes could reasonably be expected to have a material adverse effect on the Company's business, results of operations and financial condition.</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several non-cancelable operating leases that expire over the next 5 years. These leases generally contain renewal options and require the Company to pay all executory costs such as maintenance and insurance. The Company recognised $3.4 million and $3.0 million in rental expense for the years ended December 31, 2012 and December 31, 2011 respectively. Future minimum rental commitments for operating leases with non-cancelable terms in excess of one year are as follows:</w:t>
      </w:r>
    </w:p>
    <w:p>
      <w:pPr>
        <w:spacing w:after="0" w:line="212" w:lineRule="exact"/>
        <w:rPr>
          <w:sz w:val="20"/>
          <w:szCs w:val="20"/>
          <w:color w:val="auto"/>
        </w:rPr>
      </w:pPr>
    </w:p>
    <w:tbl>
      <w:tblPr>
        <w:tblLayout w:type="fixed"/>
        <w:tblInd w:w="200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Minimum rental</w:t>
            </w:r>
          </w:p>
        </w:tc>
      </w:tr>
      <w:tr>
        <w:trPr>
          <w:trHeight w:val="212"/>
        </w:trPr>
        <w:tc>
          <w:tcPr>
            <w:tcW w:w="3420" w:type="dxa"/>
            <w:vAlign w:val="bottom"/>
          </w:tcPr>
          <w:p>
            <w:pPr>
              <w:spacing w:after="0"/>
              <w:rPr>
                <w:sz w:val="18"/>
                <w:szCs w:val="18"/>
                <w:color w:val="auto"/>
              </w:rPr>
            </w:pP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payments</w:t>
            </w:r>
          </w:p>
        </w:tc>
      </w:tr>
      <w:tr>
        <w:trPr>
          <w:trHeight w:val="230"/>
        </w:trPr>
        <w:tc>
          <w:tcPr>
            <w:tcW w:w="3420" w:type="dxa"/>
            <w:vAlign w:val="bottom"/>
          </w:tcPr>
          <w:p>
            <w:pPr>
              <w:spacing w:after="0"/>
              <w:rPr>
                <w:sz w:val="20"/>
                <w:szCs w:val="20"/>
                <w:color w:val="auto"/>
              </w:rPr>
            </w:pP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$’000</w:t>
            </w:r>
          </w:p>
        </w:tc>
      </w:tr>
      <w:tr>
        <w:trPr>
          <w:trHeight w:val="213"/>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r>
      <w:tr>
        <w:trPr>
          <w:trHeight w:val="212"/>
        </w:trPr>
        <w:tc>
          <w:tcPr>
            <w:tcW w:w="3420" w:type="dxa"/>
            <w:vAlign w:val="bottom"/>
          </w:tcPr>
          <w:p>
            <w:pPr>
              <w:spacing w:after="0"/>
              <w:rPr>
                <w:sz w:val="20"/>
                <w:szCs w:val="20"/>
                <w:color w:val="auto"/>
              </w:rPr>
            </w:pPr>
            <w:r>
              <w:rPr>
                <w:rFonts w:ascii="Arial" w:cs="Arial" w:eastAsia="Arial" w:hAnsi="Arial"/>
                <w:sz w:val="18"/>
                <w:szCs w:val="18"/>
                <w:color w:val="auto"/>
              </w:rPr>
              <w:t>2014</w:t>
            </w:r>
          </w:p>
        </w:tc>
        <w:tc>
          <w:tcPr>
            <w:tcW w:w="4000" w:type="dxa"/>
            <w:vAlign w:val="bottom"/>
          </w:tcPr>
          <w:p>
            <w:pPr>
              <w:jc w:val="right"/>
              <w:spacing w:after="0"/>
              <w:rPr>
                <w:sz w:val="20"/>
                <w:szCs w:val="20"/>
                <w:color w:val="auto"/>
              </w:rPr>
            </w:pPr>
            <w:r>
              <w:rPr>
                <w:rFonts w:ascii="Arial" w:cs="Arial" w:eastAsia="Arial" w:hAnsi="Arial"/>
                <w:sz w:val="18"/>
                <w:szCs w:val="18"/>
                <w:color w:val="auto"/>
              </w:rPr>
              <w:t>930</w:t>
            </w:r>
          </w:p>
        </w:tc>
      </w:tr>
      <w:tr>
        <w:trPr>
          <w:trHeight w:val="212"/>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12"/>
        </w:trPr>
        <w:tc>
          <w:tcPr>
            <w:tcW w:w="3420" w:type="dxa"/>
            <w:vAlign w:val="bottom"/>
          </w:tcPr>
          <w:p>
            <w:pPr>
              <w:spacing w:after="0"/>
              <w:rPr>
                <w:sz w:val="20"/>
                <w:szCs w:val="20"/>
                <w:color w:val="auto"/>
              </w:rPr>
            </w:pPr>
            <w:r>
              <w:rPr>
                <w:rFonts w:ascii="Arial" w:cs="Arial" w:eastAsia="Arial" w:hAnsi="Arial"/>
                <w:sz w:val="18"/>
                <w:szCs w:val="18"/>
                <w:color w:val="auto"/>
              </w:rPr>
              <w:t>2016</w:t>
            </w:r>
          </w:p>
        </w:tc>
        <w:tc>
          <w:tcPr>
            <w:tcW w:w="400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12"/>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4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2"/>
        </w:trPr>
        <w:tc>
          <w:tcPr>
            <w:tcW w:w="34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r>
      <w:tr>
        <w:trPr>
          <w:trHeight w:val="212"/>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w:t>
            </w: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Litigation</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is not party to any litigation or other legal proceedings that the Company believes could reasonably be expected to have a material adverse effect on the Company’s business, results of operations and financial position.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w:t>
      </w: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is exposed to various financial risks in the normal course of the business. The Company’s financial instruments typically comprise, cash, bank borrowings and accounts payable. The main purpose of these financial instruments is to provide finance for the Company’s operations. The main risks arising from the Company’s financial instruments are credit risk, liquidity risk, interest rate risk, and foreign exchange risk.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44"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Credit risk is the risk of financial loss to the Company if a customer or counterparty to a financial instrument fails to meet its contractual obligations. Credit risk in respect of the Company arises on balances due from group companies, and as the group is financially sound and the subsidiary entities that ICON Plc the company trades with are in a position to make payments as and when they fall due, the Company has assessed the exposure to credit risk as 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Liquidity risk is the risk that the Company will not be able to meet its financial obligations as they fall due. The Company’s liquidity risk arises from the repayment of short term debt and other obligations as they fall due. The Company minimises liquidity risk by ensuring that sufficient cash balances and committed bank lines of credit are available to meet its obligations as they fall due. The Company’s bank credit lines and facilities are the same as Group. Details of the Group’s bank credit lines and facilities are set out in note 22.</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Financial instruments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following table sets out details of the maturity of the Company’s financial liabilities into the relevant maturity groupings based on the remaining period from the financial year end date to the contractual maturity date: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80" w:type="dxa"/>
            <w:vAlign w:val="bottom"/>
            <w:gridSpan w:val="2"/>
          </w:tcPr>
          <w:p>
            <w:pPr>
              <w:spacing w:after="0"/>
              <w:rPr>
                <w:sz w:val="20"/>
                <w:szCs w:val="20"/>
                <w:color w:val="auto"/>
              </w:rPr>
            </w:pPr>
            <w:r>
              <w:rPr>
                <w:rFonts w:ascii="Arial" w:cs="Arial" w:eastAsia="Arial" w:hAnsi="Arial"/>
                <w:sz w:val="18"/>
                <w:szCs w:val="18"/>
                <w:i w:val="1"/>
                <w:iCs w:val="1"/>
                <w:color w:val="auto"/>
              </w:rPr>
              <w:t>At 31 December 2012</w:t>
            </w:r>
          </w:p>
        </w:tc>
        <w:tc>
          <w:tcPr>
            <w:tcW w:w="14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b w:val="1"/>
                <w:bCs w:val="1"/>
                <w:color w:val="auto"/>
              </w:rPr>
              <w:t>Carrying</w:t>
            </w:r>
          </w:p>
        </w:tc>
        <w:tc>
          <w:tcPr>
            <w:tcW w:w="1600" w:type="dxa"/>
            <w:vAlign w:val="bottom"/>
          </w:tcPr>
          <w:p>
            <w:pPr>
              <w:jc w:val="right"/>
              <w:ind w:right="392"/>
              <w:spacing w:after="0"/>
              <w:rPr>
                <w:sz w:val="20"/>
                <w:szCs w:val="20"/>
                <w:color w:val="auto"/>
              </w:rPr>
            </w:pPr>
            <w:r>
              <w:rPr>
                <w:rFonts w:ascii="Arial" w:cs="Arial" w:eastAsia="Arial" w:hAnsi="Arial"/>
                <w:sz w:val="18"/>
                <w:szCs w:val="18"/>
                <w:b w:val="1"/>
                <w:bCs w:val="1"/>
                <w:color w:val="auto"/>
              </w:rPr>
              <w:t>Contractual</w:t>
            </w:r>
          </w:p>
        </w:tc>
        <w:tc>
          <w:tcPr>
            <w:tcW w:w="1420" w:type="dxa"/>
            <w:vAlign w:val="bottom"/>
          </w:tcPr>
          <w:p>
            <w:pPr>
              <w:jc w:val="right"/>
              <w:ind w:right="412"/>
              <w:spacing w:after="0"/>
              <w:rPr>
                <w:sz w:val="20"/>
                <w:szCs w:val="20"/>
                <w:color w:val="auto"/>
              </w:rPr>
            </w:pPr>
            <w:r>
              <w:rPr>
                <w:rFonts w:ascii="Arial" w:cs="Arial" w:eastAsia="Arial" w:hAnsi="Arial"/>
                <w:sz w:val="18"/>
                <w:szCs w:val="18"/>
                <w:b w:val="1"/>
                <w:bCs w:val="1"/>
                <w:color w:val="auto"/>
              </w:rPr>
              <w:t>6 mths</w:t>
            </w:r>
          </w:p>
        </w:tc>
        <w:tc>
          <w:tcPr>
            <w:tcW w:w="1340" w:type="dxa"/>
            <w:vAlign w:val="bottom"/>
          </w:tcPr>
          <w:p>
            <w:pPr>
              <w:jc w:val="right"/>
              <w:ind w:right="372"/>
              <w:spacing w:after="0"/>
              <w:rPr>
                <w:sz w:val="20"/>
                <w:szCs w:val="20"/>
                <w:color w:val="auto"/>
              </w:rPr>
            </w:pPr>
            <w:r>
              <w:rPr>
                <w:rFonts w:ascii="Arial" w:cs="Arial" w:eastAsia="Arial" w:hAnsi="Arial"/>
                <w:sz w:val="18"/>
                <w:szCs w:val="18"/>
                <w:b w:val="1"/>
                <w:bCs w:val="1"/>
                <w:color w:val="auto"/>
              </w:rPr>
              <w:t>6 to12</w:t>
            </w:r>
          </w:p>
        </w:tc>
        <w:tc>
          <w:tcPr>
            <w:tcW w:w="1360" w:type="dxa"/>
            <w:vAlign w:val="bottom"/>
          </w:tcPr>
          <w:p>
            <w:pPr>
              <w:jc w:val="right"/>
              <w:ind w:right="372"/>
              <w:spacing w:after="0"/>
              <w:rPr>
                <w:sz w:val="20"/>
                <w:szCs w:val="20"/>
                <w:color w:val="auto"/>
              </w:rPr>
            </w:pPr>
            <w:r>
              <w:rPr>
                <w:rFonts w:ascii="Arial" w:cs="Arial" w:eastAsia="Arial" w:hAnsi="Arial"/>
                <w:sz w:val="18"/>
                <w:szCs w:val="18"/>
                <w:b w:val="1"/>
                <w:bCs w:val="1"/>
                <w:color w:val="auto"/>
              </w:rPr>
              <w:t>1 to 2</w:t>
            </w:r>
          </w:p>
        </w:tc>
        <w:tc>
          <w:tcPr>
            <w:tcW w:w="1180" w:type="dxa"/>
            <w:vAlign w:val="bottom"/>
          </w:tcPr>
          <w:p>
            <w:pPr>
              <w:jc w:val="right"/>
              <w:ind w:right="212"/>
              <w:spacing w:after="0"/>
              <w:rPr>
                <w:sz w:val="20"/>
                <w:szCs w:val="20"/>
                <w:color w:val="auto"/>
              </w:rPr>
            </w:pPr>
            <w:r>
              <w:rPr>
                <w:rFonts w:ascii="Arial" w:cs="Arial" w:eastAsia="Arial" w:hAnsi="Arial"/>
                <w:sz w:val="18"/>
                <w:szCs w:val="18"/>
                <w:b w:val="1"/>
                <w:bCs w:val="1"/>
                <w:color w:val="auto"/>
              </w:rPr>
              <w:t>2 to 5</w:t>
            </w:r>
          </w:p>
        </w:tc>
        <w:tc>
          <w:tcPr>
            <w:tcW w:w="1140" w:type="dxa"/>
            <w:vAlign w:val="bottom"/>
          </w:tcPr>
          <w:p>
            <w:pPr>
              <w:jc w:val="right"/>
              <w:ind w:right="12"/>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b w:val="1"/>
                <w:bCs w:val="1"/>
                <w:color w:val="auto"/>
              </w:rPr>
              <w:t>Amount</w:t>
            </w:r>
          </w:p>
        </w:tc>
        <w:tc>
          <w:tcPr>
            <w:tcW w:w="1600" w:type="dxa"/>
            <w:vAlign w:val="bottom"/>
          </w:tcPr>
          <w:p>
            <w:pPr>
              <w:jc w:val="right"/>
              <w:ind w:right="392"/>
              <w:spacing w:after="0"/>
              <w:rPr>
                <w:sz w:val="20"/>
                <w:szCs w:val="20"/>
                <w:color w:val="auto"/>
              </w:rPr>
            </w:pPr>
            <w:r>
              <w:rPr>
                <w:rFonts w:ascii="Arial" w:cs="Arial" w:eastAsia="Arial" w:hAnsi="Arial"/>
                <w:sz w:val="18"/>
                <w:szCs w:val="18"/>
                <w:b w:val="1"/>
                <w:bCs w:val="1"/>
                <w:color w:val="auto"/>
              </w:rPr>
              <w:t>Cashflows</w:t>
            </w:r>
          </w:p>
        </w:tc>
        <w:tc>
          <w:tcPr>
            <w:tcW w:w="1420" w:type="dxa"/>
            <w:vAlign w:val="bottom"/>
          </w:tcPr>
          <w:p>
            <w:pPr>
              <w:jc w:val="right"/>
              <w:ind w:right="412"/>
              <w:spacing w:after="0"/>
              <w:rPr>
                <w:sz w:val="20"/>
                <w:szCs w:val="20"/>
                <w:color w:val="auto"/>
              </w:rPr>
            </w:pPr>
            <w:r>
              <w:rPr>
                <w:rFonts w:ascii="Arial" w:cs="Arial" w:eastAsia="Arial" w:hAnsi="Arial"/>
                <w:sz w:val="18"/>
                <w:szCs w:val="18"/>
                <w:b w:val="1"/>
                <w:bCs w:val="1"/>
                <w:color w:val="auto"/>
              </w:rPr>
              <w:t>or less</w:t>
            </w:r>
          </w:p>
        </w:tc>
        <w:tc>
          <w:tcPr>
            <w:tcW w:w="1340" w:type="dxa"/>
            <w:vAlign w:val="bottom"/>
          </w:tcPr>
          <w:p>
            <w:pPr>
              <w:jc w:val="right"/>
              <w:ind w:right="372"/>
              <w:spacing w:after="0"/>
              <w:rPr>
                <w:sz w:val="20"/>
                <w:szCs w:val="20"/>
                <w:color w:val="auto"/>
              </w:rPr>
            </w:pPr>
            <w:r>
              <w:rPr>
                <w:rFonts w:ascii="Arial" w:cs="Arial" w:eastAsia="Arial" w:hAnsi="Arial"/>
                <w:sz w:val="18"/>
                <w:szCs w:val="18"/>
                <w:b w:val="1"/>
                <w:bCs w:val="1"/>
                <w:color w:val="auto"/>
              </w:rPr>
              <w:t>mths</w:t>
            </w:r>
          </w:p>
        </w:tc>
        <w:tc>
          <w:tcPr>
            <w:tcW w:w="1360" w:type="dxa"/>
            <w:vAlign w:val="bottom"/>
          </w:tcPr>
          <w:p>
            <w:pPr>
              <w:jc w:val="right"/>
              <w:ind w:right="372"/>
              <w:spacing w:after="0"/>
              <w:rPr>
                <w:sz w:val="20"/>
                <w:szCs w:val="20"/>
                <w:color w:val="auto"/>
              </w:rPr>
            </w:pPr>
            <w:r>
              <w:rPr>
                <w:rFonts w:ascii="Arial" w:cs="Arial" w:eastAsia="Arial" w:hAnsi="Arial"/>
                <w:sz w:val="18"/>
                <w:szCs w:val="18"/>
                <w:b w:val="1"/>
                <w:bCs w:val="1"/>
                <w:color w:val="auto"/>
              </w:rPr>
              <w:t>years</w:t>
            </w:r>
          </w:p>
        </w:tc>
        <w:tc>
          <w:tcPr>
            <w:tcW w:w="1180" w:type="dxa"/>
            <w:vAlign w:val="bottom"/>
          </w:tcPr>
          <w:p>
            <w:pPr>
              <w:jc w:val="right"/>
              <w:ind w:right="212"/>
              <w:spacing w:after="0"/>
              <w:rPr>
                <w:sz w:val="20"/>
                <w:szCs w:val="20"/>
                <w:color w:val="auto"/>
              </w:rPr>
            </w:pPr>
            <w:r>
              <w:rPr>
                <w:rFonts w:ascii="Arial" w:cs="Arial" w:eastAsia="Arial" w:hAnsi="Arial"/>
                <w:sz w:val="18"/>
                <w:szCs w:val="18"/>
                <w:b w:val="1"/>
                <w:bCs w:val="1"/>
                <w:color w:val="auto"/>
              </w:rPr>
              <w:t>years</w:t>
            </w:r>
          </w:p>
        </w:tc>
        <w:tc>
          <w:tcPr>
            <w:tcW w:w="1140" w:type="dxa"/>
            <w:vAlign w:val="bottom"/>
          </w:tcPr>
          <w:p>
            <w:pPr>
              <w:jc w:val="right"/>
              <w:ind w:right="12"/>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b w:val="1"/>
                <w:bCs w:val="1"/>
                <w:color w:val="auto"/>
              </w:rPr>
              <w:t>$’000</w:t>
            </w:r>
          </w:p>
        </w:tc>
        <w:tc>
          <w:tcPr>
            <w:tcW w:w="1600" w:type="dxa"/>
            <w:vAlign w:val="bottom"/>
          </w:tcPr>
          <w:p>
            <w:pPr>
              <w:jc w:val="right"/>
              <w:ind w:right="392"/>
              <w:spacing w:after="0"/>
              <w:rPr>
                <w:sz w:val="20"/>
                <w:szCs w:val="20"/>
                <w:color w:val="auto"/>
              </w:rPr>
            </w:pPr>
            <w:r>
              <w:rPr>
                <w:rFonts w:ascii="Arial" w:cs="Arial" w:eastAsia="Arial" w:hAnsi="Arial"/>
                <w:sz w:val="18"/>
                <w:szCs w:val="18"/>
                <w:b w:val="1"/>
                <w:bCs w:val="1"/>
                <w:color w:val="auto"/>
              </w:rPr>
              <w:t>$’000</w:t>
            </w:r>
          </w:p>
        </w:tc>
        <w:tc>
          <w:tcPr>
            <w:tcW w:w="1420" w:type="dxa"/>
            <w:vAlign w:val="bottom"/>
          </w:tcPr>
          <w:p>
            <w:pPr>
              <w:jc w:val="right"/>
              <w:ind w:right="412"/>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372"/>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372"/>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212"/>
              <w:spacing w:after="0"/>
              <w:rPr>
                <w:sz w:val="20"/>
                <w:szCs w:val="20"/>
                <w:color w:val="auto"/>
              </w:rPr>
            </w:pPr>
            <w:r>
              <w:rPr>
                <w:rFonts w:ascii="Arial" w:cs="Arial" w:eastAsia="Arial" w:hAnsi="Arial"/>
                <w:sz w:val="18"/>
                <w:szCs w:val="18"/>
                <w:b w:val="1"/>
                <w:bCs w:val="1"/>
                <w:color w:val="auto"/>
              </w:rPr>
              <w:t>$’000</w:t>
            </w:r>
          </w:p>
        </w:tc>
        <w:tc>
          <w:tcPr>
            <w:tcW w:w="114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(454)</w:t>
            </w:r>
          </w:p>
        </w:tc>
        <w:tc>
          <w:tcPr>
            <w:tcW w:w="16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(454)</w:t>
            </w:r>
          </w:p>
        </w:tc>
        <w:tc>
          <w:tcPr>
            <w:tcW w:w="14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(454)</w:t>
            </w:r>
          </w:p>
        </w:tc>
        <w:tc>
          <w:tcPr>
            <w:tcW w:w="13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60" w:type="dxa"/>
            <w:vAlign w:val="bottom"/>
          </w:tcPr>
          <w:p>
            <w:pPr>
              <w:spacing w:after="0" w:line="200" w:lineRule="exact"/>
              <w:rPr>
                <w:sz w:val="20"/>
                <w:szCs w:val="20"/>
                <w:color w:val="auto"/>
              </w:rPr>
            </w:pPr>
            <w:r>
              <w:rPr>
                <w:rFonts w:ascii="Arial" w:cs="Arial" w:eastAsia="Arial" w:hAnsi="Arial"/>
                <w:sz w:val="18"/>
                <w:szCs w:val="18"/>
                <w:color w:val="auto"/>
              </w:rPr>
              <w:t>Accruals and other</w:t>
            </w:r>
          </w:p>
        </w:tc>
        <w:tc>
          <w:tcPr>
            <w:tcW w:w="1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(8,185)</w:t>
            </w:r>
          </w:p>
        </w:tc>
        <w:tc>
          <w:tcPr>
            <w:tcW w:w="1600" w:type="dxa"/>
            <w:vAlign w:val="bottom"/>
          </w:tcPr>
          <w:p>
            <w:pPr>
              <w:jc w:val="right"/>
              <w:ind w:right="332"/>
              <w:spacing w:after="0"/>
              <w:rPr>
                <w:sz w:val="20"/>
                <w:szCs w:val="20"/>
                <w:color w:val="auto"/>
              </w:rPr>
            </w:pPr>
            <w:r>
              <w:rPr>
                <w:rFonts w:ascii="Arial" w:cs="Arial" w:eastAsia="Arial" w:hAnsi="Arial"/>
                <w:sz w:val="18"/>
                <w:szCs w:val="18"/>
                <w:color w:val="auto"/>
              </w:rPr>
              <w:t>(8,185)</w:t>
            </w:r>
          </w:p>
        </w:tc>
        <w:tc>
          <w:tcPr>
            <w:tcW w:w="1420" w:type="dxa"/>
            <w:vAlign w:val="bottom"/>
          </w:tcPr>
          <w:p>
            <w:pPr>
              <w:jc w:val="right"/>
              <w:ind w:right="352"/>
              <w:spacing w:after="0"/>
              <w:rPr>
                <w:sz w:val="20"/>
                <w:szCs w:val="20"/>
                <w:color w:val="auto"/>
              </w:rPr>
            </w:pPr>
            <w:r>
              <w:rPr>
                <w:rFonts w:ascii="Arial" w:cs="Arial" w:eastAsia="Arial" w:hAnsi="Arial"/>
                <w:sz w:val="18"/>
                <w:szCs w:val="18"/>
                <w:color w:val="auto"/>
              </w:rPr>
              <w:t>(8,185)</w:t>
            </w:r>
          </w:p>
        </w:tc>
        <w:tc>
          <w:tcPr>
            <w:tcW w:w="13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Non-current other</w:t>
            </w:r>
          </w:p>
        </w:tc>
        <w:tc>
          <w:tcPr>
            <w:tcW w:w="14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(4,967)</w:t>
            </w:r>
          </w:p>
        </w:tc>
        <w:tc>
          <w:tcPr>
            <w:tcW w:w="16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(4,967)</w:t>
            </w:r>
          </w:p>
        </w:tc>
        <w:tc>
          <w:tcPr>
            <w:tcW w:w="14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(2,484)</w:t>
            </w:r>
          </w:p>
        </w:tc>
        <w:tc>
          <w:tcPr>
            <w:tcW w:w="11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(2,483)</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(13,606)</w:t>
            </w:r>
          </w:p>
        </w:tc>
        <w:tc>
          <w:tcPr>
            <w:tcW w:w="16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(13,606)</w:t>
            </w:r>
          </w:p>
        </w:tc>
        <w:tc>
          <w:tcPr>
            <w:tcW w:w="14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(8,639)</w:t>
            </w:r>
          </w:p>
        </w:tc>
        <w:tc>
          <w:tcPr>
            <w:tcW w:w="134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(2,484)</w:t>
            </w:r>
          </w:p>
        </w:tc>
        <w:tc>
          <w:tcPr>
            <w:tcW w:w="11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(2,483)</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43"/>
        </w:trPr>
        <w:tc>
          <w:tcPr>
            <w:tcW w:w="1980" w:type="dxa"/>
            <w:vAlign w:val="bottom"/>
            <w:gridSpan w:val="2"/>
          </w:tcPr>
          <w:p>
            <w:pPr>
              <w:spacing w:after="0"/>
              <w:rPr>
                <w:sz w:val="20"/>
                <w:szCs w:val="20"/>
                <w:color w:val="auto"/>
              </w:rPr>
            </w:pPr>
            <w:r>
              <w:rPr>
                <w:rFonts w:ascii="Arial" w:cs="Arial" w:eastAsia="Arial" w:hAnsi="Arial"/>
                <w:sz w:val="18"/>
                <w:szCs w:val="18"/>
                <w:i w:val="1"/>
                <w:iCs w:val="1"/>
                <w:color w:val="auto"/>
              </w:rPr>
              <w:t>At 31 December 2011</w:t>
            </w:r>
          </w:p>
        </w:tc>
        <w:tc>
          <w:tcPr>
            <w:tcW w:w="1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b w:val="1"/>
                <w:bCs w:val="1"/>
                <w:color w:val="auto"/>
              </w:rPr>
              <w:t>Carrying</w:t>
            </w:r>
          </w:p>
        </w:tc>
        <w:tc>
          <w:tcPr>
            <w:tcW w:w="1600" w:type="dxa"/>
            <w:vAlign w:val="bottom"/>
          </w:tcPr>
          <w:p>
            <w:pPr>
              <w:jc w:val="right"/>
              <w:ind w:right="392"/>
              <w:spacing w:after="0"/>
              <w:rPr>
                <w:sz w:val="20"/>
                <w:szCs w:val="20"/>
                <w:color w:val="auto"/>
              </w:rPr>
            </w:pPr>
            <w:r>
              <w:rPr>
                <w:rFonts w:ascii="Arial" w:cs="Arial" w:eastAsia="Arial" w:hAnsi="Arial"/>
                <w:sz w:val="18"/>
                <w:szCs w:val="18"/>
                <w:b w:val="1"/>
                <w:bCs w:val="1"/>
                <w:color w:val="auto"/>
              </w:rPr>
              <w:t>Contractual</w:t>
            </w:r>
          </w:p>
        </w:tc>
        <w:tc>
          <w:tcPr>
            <w:tcW w:w="1420" w:type="dxa"/>
            <w:vAlign w:val="bottom"/>
          </w:tcPr>
          <w:p>
            <w:pPr>
              <w:jc w:val="right"/>
              <w:ind w:right="412"/>
              <w:spacing w:after="0"/>
              <w:rPr>
                <w:sz w:val="20"/>
                <w:szCs w:val="20"/>
                <w:color w:val="auto"/>
              </w:rPr>
            </w:pPr>
            <w:r>
              <w:rPr>
                <w:rFonts w:ascii="Arial" w:cs="Arial" w:eastAsia="Arial" w:hAnsi="Arial"/>
                <w:sz w:val="18"/>
                <w:szCs w:val="18"/>
                <w:b w:val="1"/>
                <w:bCs w:val="1"/>
                <w:color w:val="auto"/>
              </w:rPr>
              <w:t>6 mths</w:t>
            </w:r>
          </w:p>
        </w:tc>
        <w:tc>
          <w:tcPr>
            <w:tcW w:w="1340" w:type="dxa"/>
            <w:vAlign w:val="bottom"/>
          </w:tcPr>
          <w:p>
            <w:pPr>
              <w:jc w:val="right"/>
              <w:ind w:right="372"/>
              <w:spacing w:after="0"/>
              <w:rPr>
                <w:sz w:val="20"/>
                <w:szCs w:val="20"/>
                <w:color w:val="auto"/>
              </w:rPr>
            </w:pPr>
            <w:r>
              <w:rPr>
                <w:rFonts w:ascii="Arial" w:cs="Arial" w:eastAsia="Arial" w:hAnsi="Arial"/>
                <w:sz w:val="18"/>
                <w:szCs w:val="18"/>
                <w:b w:val="1"/>
                <w:bCs w:val="1"/>
                <w:color w:val="auto"/>
              </w:rPr>
              <w:t>6 to12</w:t>
            </w:r>
          </w:p>
        </w:tc>
        <w:tc>
          <w:tcPr>
            <w:tcW w:w="1360" w:type="dxa"/>
            <w:vAlign w:val="bottom"/>
          </w:tcPr>
          <w:p>
            <w:pPr>
              <w:jc w:val="right"/>
              <w:ind w:right="372"/>
              <w:spacing w:after="0"/>
              <w:rPr>
                <w:sz w:val="20"/>
                <w:szCs w:val="20"/>
                <w:color w:val="auto"/>
              </w:rPr>
            </w:pPr>
            <w:r>
              <w:rPr>
                <w:rFonts w:ascii="Arial" w:cs="Arial" w:eastAsia="Arial" w:hAnsi="Arial"/>
                <w:sz w:val="18"/>
                <w:szCs w:val="18"/>
                <w:b w:val="1"/>
                <w:bCs w:val="1"/>
                <w:color w:val="auto"/>
              </w:rPr>
              <w:t>1 to 2</w:t>
            </w:r>
          </w:p>
        </w:tc>
        <w:tc>
          <w:tcPr>
            <w:tcW w:w="1180" w:type="dxa"/>
            <w:vAlign w:val="bottom"/>
          </w:tcPr>
          <w:p>
            <w:pPr>
              <w:jc w:val="right"/>
              <w:ind w:right="212"/>
              <w:spacing w:after="0"/>
              <w:rPr>
                <w:sz w:val="20"/>
                <w:szCs w:val="20"/>
                <w:color w:val="auto"/>
              </w:rPr>
            </w:pPr>
            <w:r>
              <w:rPr>
                <w:rFonts w:ascii="Arial" w:cs="Arial" w:eastAsia="Arial" w:hAnsi="Arial"/>
                <w:sz w:val="18"/>
                <w:szCs w:val="18"/>
                <w:b w:val="1"/>
                <w:bCs w:val="1"/>
                <w:color w:val="auto"/>
              </w:rPr>
              <w:t>2 to 5</w:t>
            </w:r>
          </w:p>
        </w:tc>
        <w:tc>
          <w:tcPr>
            <w:tcW w:w="1140" w:type="dxa"/>
            <w:vAlign w:val="bottom"/>
          </w:tcPr>
          <w:p>
            <w:pPr>
              <w:jc w:val="right"/>
              <w:ind w:right="12"/>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b w:val="1"/>
                <w:bCs w:val="1"/>
                <w:color w:val="auto"/>
              </w:rPr>
              <w:t>Amount</w:t>
            </w:r>
          </w:p>
        </w:tc>
        <w:tc>
          <w:tcPr>
            <w:tcW w:w="1600" w:type="dxa"/>
            <w:vAlign w:val="bottom"/>
          </w:tcPr>
          <w:p>
            <w:pPr>
              <w:jc w:val="right"/>
              <w:ind w:right="392"/>
              <w:spacing w:after="0"/>
              <w:rPr>
                <w:sz w:val="20"/>
                <w:szCs w:val="20"/>
                <w:color w:val="auto"/>
              </w:rPr>
            </w:pPr>
            <w:r>
              <w:rPr>
                <w:rFonts w:ascii="Arial" w:cs="Arial" w:eastAsia="Arial" w:hAnsi="Arial"/>
                <w:sz w:val="18"/>
                <w:szCs w:val="18"/>
                <w:b w:val="1"/>
                <w:bCs w:val="1"/>
                <w:color w:val="auto"/>
              </w:rPr>
              <w:t>Cashflows</w:t>
            </w:r>
          </w:p>
        </w:tc>
        <w:tc>
          <w:tcPr>
            <w:tcW w:w="1420" w:type="dxa"/>
            <w:vAlign w:val="bottom"/>
          </w:tcPr>
          <w:p>
            <w:pPr>
              <w:jc w:val="right"/>
              <w:ind w:right="412"/>
              <w:spacing w:after="0"/>
              <w:rPr>
                <w:sz w:val="20"/>
                <w:szCs w:val="20"/>
                <w:color w:val="auto"/>
              </w:rPr>
            </w:pPr>
            <w:r>
              <w:rPr>
                <w:rFonts w:ascii="Arial" w:cs="Arial" w:eastAsia="Arial" w:hAnsi="Arial"/>
                <w:sz w:val="18"/>
                <w:szCs w:val="18"/>
                <w:b w:val="1"/>
                <w:bCs w:val="1"/>
                <w:color w:val="auto"/>
              </w:rPr>
              <w:t>or less</w:t>
            </w:r>
          </w:p>
        </w:tc>
        <w:tc>
          <w:tcPr>
            <w:tcW w:w="1340" w:type="dxa"/>
            <w:vAlign w:val="bottom"/>
          </w:tcPr>
          <w:p>
            <w:pPr>
              <w:jc w:val="right"/>
              <w:ind w:right="372"/>
              <w:spacing w:after="0"/>
              <w:rPr>
                <w:sz w:val="20"/>
                <w:szCs w:val="20"/>
                <w:color w:val="auto"/>
              </w:rPr>
            </w:pPr>
            <w:r>
              <w:rPr>
                <w:rFonts w:ascii="Arial" w:cs="Arial" w:eastAsia="Arial" w:hAnsi="Arial"/>
                <w:sz w:val="18"/>
                <w:szCs w:val="18"/>
                <w:b w:val="1"/>
                <w:bCs w:val="1"/>
                <w:color w:val="auto"/>
              </w:rPr>
              <w:t>mths</w:t>
            </w:r>
          </w:p>
        </w:tc>
        <w:tc>
          <w:tcPr>
            <w:tcW w:w="1360" w:type="dxa"/>
            <w:vAlign w:val="bottom"/>
          </w:tcPr>
          <w:p>
            <w:pPr>
              <w:jc w:val="right"/>
              <w:ind w:right="372"/>
              <w:spacing w:after="0"/>
              <w:rPr>
                <w:sz w:val="20"/>
                <w:szCs w:val="20"/>
                <w:color w:val="auto"/>
              </w:rPr>
            </w:pPr>
            <w:r>
              <w:rPr>
                <w:rFonts w:ascii="Arial" w:cs="Arial" w:eastAsia="Arial" w:hAnsi="Arial"/>
                <w:sz w:val="18"/>
                <w:szCs w:val="18"/>
                <w:b w:val="1"/>
                <w:bCs w:val="1"/>
                <w:color w:val="auto"/>
              </w:rPr>
              <w:t>years</w:t>
            </w:r>
          </w:p>
        </w:tc>
        <w:tc>
          <w:tcPr>
            <w:tcW w:w="1180" w:type="dxa"/>
            <w:vAlign w:val="bottom"/>
          </w:tcPr>
          <w:p>
            <w:pPr>
              <w:jc w:val="right"/>
              <w:ind w:right="212"/>
              <w:spacing w:after="0"/>
              <w:rPr>
                <w:sz w:val="20"/>
                <w:szCs w:val="20"/>
                <w:color w:val="auto"/>
              </w:rPr>
            </w:pPr>
            <w:r>
              <w:rPr>
                <w:rFonts w:ascii="Arial" w:cs="Arial" w:eastAsia="Arial" w:hAnsi="Arial"/>
                <w:sz w:val="18"/>
                <w:szCs w:val="18"/>
                <w:b w:val="1"/>
                <w:bCs w:val="1"/>
                <w:color w:val="auto"/>
              </w:rPr>
              <w:t>years</w:t>
            </w:r>
          </w:p>
        </w:tc>
        <w:tc>
          <w:tcPr>
            <w:tcW w:w="1140" w:type="dxa"/>
            <w:vAlign w:val="bottom"/>
          </w:tcPr>
          <w:p>
            <w:pPr>
              <w:jc w:val="right"/>
              <w:ind w:right="12"/>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b w:val="1"/>
                <w:bCs w:val="1"/>
                <w:color w:val="auto"/>
              </w:rPr>
              <w:t>$’000</w:t>
            </w:r>
          </w:p>
        </w:tc>
        <w:tc>
          <w:tcPr>
            <w:tcW w:w="1600" w:type="dxa"/>
            <w:vAlign w:val="bottom"/>
          </w:tcPr>
          <w:p>
            <w:pPr>
              <w:jc w:val="right"/>
              <w:ind w:right="392"/>
              <w:spacing w:after="0"/>
              <w:rPr>
                <w:sz w:val="20"/>
                <w:szCs w:val="20"/>
                <w:color w:val="auto"/>
              </w:rPr>
            </w:pPr>
            <w:r>
              <w:rPr>
                <w:rFonts w:ascii="Arial" w:cs="Arial" w:eastAsia="Arial" w:hAnsi="Arial"/>
                <w:sz w:val="18"/>
                <w:szCs w:val="18"/>
                <w:b w:val="1"/>
                <w:bCs w:val="1"/>
                <w:color w:val="auto"/>
              </w:rPr>
              <w:t>$’000</w:t>
            </w:r>
          </w:p>
        </w:tc>
        <w:tc>
          <w:tcPr>
            <w:tcW w:w="1420" w:type="dxa"/>
            <w:vAlign w:val="bottom"/>
          </w:tcPr>
          <w:p>
            <w:pPr>
              <w:jc w:val="right"/>
              <w:ind w:right="412"/>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372"/>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372"/>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212"/>
              <w:spacing w:after="0"/>
              <w:rPr>
                <w:sz w:val="20"/>
                <w:szCs w:val="20"/>
                <w:color w:val="auto"/>
              </w:rPr>
            </w:pPr>
            <w:r>
              <w:rPr>
                <w:rFonts w:ascii="Arial" w:cs="Arial" w:eastAsia="Arial" w:hAnsi="Arial"/>
                <w:sz w:val="18"/>
                <w:szCs w:val="18"/>
                <w:b w:val="1"/>
                <w:bCs w:val="1"/>
                <w:color w:val="auto"/>
              </w:rPr>
              <w:t>$’000</w:t>
            </w:r>
          </w:p>
        </w:tc>
        <w:tc>
          <w:tcPr>
            <w:tcW w:w="1140" w:type="dxa"/>
            <w:vAlign w:val="bottom"/>
          </w:tcPr>
          <w:p>
            <w:pPr>
              <w:jc w:val="right"/>
              <w:ind w:right="1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(438)</w:t>
            </w:r>
          </w:p>
        </w:tc>
        <w:tc>
          <w:tcPr>
            <w:tcW w:w="16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(438)</w:t>
            </w:r>
          </w:p>
        </w:tc>
        <w:tc>
          <w:tcPr>
            <w:tcW w:w="14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(438)</w:t>
            </w:r>
          </w:p>
        </w:tc>
        <w:tc>
          <w:tcPr>
            <w:tcW w:w="13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60" w:type="dxa"/>
            <w:vAlign w:val="bottom"/>
          </w:tcPr>
          <w:p>
            <w:pPr>
              <w:spacing w:after="0" w:line="200" w:lineRule="exact"/>
              <w:rPr>
                <w:sz w:val="20"/>
                <w:szCs w:val="20"/>
                <w:color w:val="auto"/>
              </w:rPr>
            </w:pPr>
            <w:r>
              <w:rPr>
                <w:rFonts w:ascii="Arial" w:cs="Arial" w:eastAsia="Arial" w:hAnsi="Arial"/>
                <w:sz w:val="18"/>
                <w:szCs w:val="18"/>
                <w:color w:val="auto"/>
              </w:rPr>
              <w:t>Accruals and other</w:t>
            </w:r>
          </w:p>
        </w:tc>
        <w:tc>
          <w:tcPr>
            <w:tcW w:w="1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9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(9,238)</w:t>
            </w:r>
          </w:p>
        </w:tc>
        <w:tc>
          <w:tcPr>
            <w:tcW w:w="1600" w:type="dxa"/>
            <w:vAlign w:val="bottom"/>
          </w:tcPr>
          <w:p>
            <w:pPr>
              <w:jc w:val="right"/>
              <w:ind w:right="332"/>
              <w:spacing w:after="0"/>
              <w:rPr>
                <w:sz w:val="20"/>
                <w:szCs w:val="20"/>
                <w:color w:val="auto"/>
              </w:rPr>
            </w:pPr>
            <w:r>
              <w:rPr>
                <w:rFonts w:ascii="Arial" w:cs="Arial" w:eastAsia="Arial" w:hAnsi="Arial"/>
                <w:sz w:val="18"/>
                <w:szCs w:val="18"/>
                <w:color w:val="auto"/>
              </w:rPr>
              <w:t>(9,238)</w:t>
            </w:r>
          </w:p>
        </w:tc>
        <w:tc>
          <w:tcPr>
            <w:tcW w:w="1420" w:type="dxa"/>
            <w:vAlign w:val="bottom"/>
          </w:tcPr>
          <w:p>
            <w:pPr>
              <w:jc w:val="right"/>
              <w:ind w:right="352"/>
              <w:spacing w:after="0"/>
              <w:rPr>
                <w:sz w:val="20"/>
                <w:szCs w:val="20"/>
                <w:color w:val="auto"/>
              </w:rPr>
            </w:pPr>
            <w:r>
              <w:rPr>
                <w:rFonts w:ascii="Arial" w:cs="Arial" w:eastAsia="Arial" w:hAnsi="Arial"/>
                <w:sz w:val="18"/>
                <w:szCs w:val="18"/>
                <w:color w:val="auto"/>
              </w:rPr>
              <w:t>(9,238)</w:t>
            </w:r>
          </w:p>
        </w:tc>
        <w:tc>
          <w:tcPr>
            <w:tcW w:w="13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(9,676)</w:t>
            </w:r>
          </w:p>
        </w:tc>
        <w:tc>
          <w:tcPr>
            <w:tcW w:w="16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(9,676)</w:t>
            </w: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(9,676)</w:t>
            </w:r>
          </w:p>
        </w:tc>
        <w:tc>
          <w:tcPr>
            <w:tcW w:w="13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functional currency of the Company is Euro, the Company reports its results in U.S. dollars. As a consequence, the results, when translated into U.S. dollars, could be affected by fluctuations in exchange rates against the U.S. dollar. At 31 December 2012 (2011: $nil) the Company had $nil US dollar denominated bank loans.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finances its operations through a mixture of shareholders’ funds, borrowings and working capital. The Company borrows in desired currencies at both fixed and floating rates of interest. In general the Company borrows at floating rates of interest but may borrow at fixed rates depending on rates available. The Company determines the level of borrowings at fixed rates of interest having regard to current market rates and future trends. At 31 December 2012, the Company did not have any borrowings drawn down.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Financial instruments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Values</w:t>
      </w:r>
    </w:p>
    <w:p>
      <w:pPr>
        <w:spacing w:after="0" w:line="244"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16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based upon unadjusted quoted prices for identical instruments traded in active markets.</w:t>
      </w:r>
    </w:p>
    <w:p>
      <w:pPr>
        <w:spacing w:after="0" w:line="217" w:lineRule="exact"/>
        <w:rPr>
          <w:sz w:val="20"/>
          <w:szCs w:val="20"/>
          <w:color w:val="auto"/>
        </w:rPr>
      </w:pPr>
    </w:p>
    <w:p>
      <w:pPr>
        <w:jc w:val="both"/>
        <w:ind w:left="1380" w:hanging="1378"/>
        <w:spacing w:after="0" w:line="277" w:lineRule="auto"/>
        <w:tabs>
          <w:tab w:leader="none" w:pos="1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72" w:lineRule="exact"/>
        <w:rPr>
          <w:sz w:val="20"/>
          <w:szCs w:val="20"/>
          <w:color w:val="auto"/>
        </w:rPr>
      </w:pPr>
    </w:p>
    <w:p>
      <w:pPr>
        <w:ind w:left="1380" w:right="100" w:hanging="1378"/>
        <w:spacing w:after="0" w:line="265" w:lineRule="auto"/>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are generally unobservable and typically reflect management’s estimates of assumptions that market participants would use in pricing the asset or liability.</w:t>
      </w:r>
    </w:p>
    <w:p>
      <w:pPr>
        <w:spacing w:after="0" w:line="206"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The fair value of the Company’s financial assets and liabilities, together with the carrying amounts, which are shown in the Statement of Financial Position,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580" w:type="dxa"/>
            <w:vAlign w:val="bottom"/>
          </w:tcPr>
          <w:p>
            <w:pPr>
              <w:jc w:val="right"/>
              <w:ind w:right="272"/>
              <w:spacing w:after="0"/>
              <w:rPr>
                <w:sz w:val="20"/>
                <w:szCs w:val="20"/>
                <w:color w:val="auto"/>
              </w:rPr>
            </w:pPr>
            <w:r>
              <w:rPr>
                <w:rFonts w:ascii="Arial" w:cs="Arial" w:eastAsia="Arial" w:hAnsi="Arial"/>
                <w:sz w:val="18"/>
                <w:szCs w:val="18"/>
                <w:b w:val="1"/>
                <w:bCs w:val="1"/>
                <w:color w:val="auto"/>
              </w:rPr>
              <w:t>31 December</w:t>
            </w:r>
          </w:p>
        </w:tc>
        <w:tc>
          <w:tcPr>
            <w:tcW w:w="1420" w:type="dxa"/>
            <w:vAlign w:val="bottom"/>
          </w:tcPr>
          <w:p>
            <w:pPr>
              <w:jc w:val="right"/>
              <w:ind w:right="72"/>
              <w:spacing w:after="0"/>
              <w:rPr>
                <w:sz w:val="20"/>
                <w:szCs w:val="20"/>
                <w:color w:val="auto"/>
              </w:rPr>
            </w:pPr>
            <w:r>
              <w:rPr>
                <w:rFonts w:ascii="Arial" w:cs="Arial" w:eastAsia="Arial" w:hAnsi="Arial"/>
                <w:sz w:val="18"/>
                <w:szCs w:val="18"/>
                <w:b w:val="1"/>
                <w:bCs w:val="1"/>
                <w:color w:val="auto"/>
              </w:rPr>
              <w:t>31 December</w:t>
            </w:r>
          </w:p>
        </w:tc>
        <w:tc>
          <w:tcPr>
            <w:tcW w:w="1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580" w:type="dxa"/>
            <w:vAlign w:val="bottom"/>
          </w:tcPr>
          <w:p>
            <w:pPr>
              <w:jc w:val="right"/>
              <w:ind w:right="272"/>
              <w:spacing w:after="0"/>
              <w:rPr>
                <w:sz w:val="20"/>
                <w:szCs w:val="20"/>
                <w:color w:val="auto"/>
              </w:rPr>
            </w:pPr>
            <w:r>
              <w:rPr>
                <w:rFonts w:ascii="Arial" w:cs="Arial" w:eastAsia="Arial" w:hAnsi="Arial"/>
                <w:sz w:val="18"/>
                <w:szCs w:val="18"/>
                <w:b w:val="1"/>
                <w:bCs w:val="1"/>
                <w:color w:val="auto"/>
              </w:rPr>
              <w:t>2012</w:t>
            </w:r>
          </w:p>
        </w:tc>
        <w:tc>
          <w:tcPr>
            <w:tcW w:w="1420" w:type="dxa"/>
            <w:vAlign w:val="bottom"/>
          </w:tcPr>
          <w:p>
            <w:pPr>
              <w:jc w:val="right"/>
              <w:ind w:right="72"/>
              <w:spacing w:after="0"/>
              <w:rPr>
                <w:sz w:val="20"/>
                <w:szCs w:val="20"/>
                <w:color w:val="auto"/>
              </w:rPr>
            </w:pPr>
            <w:r>
              <w:rPr>
                <w:rFonts w:ascii="Arial" w:cs="Arial" w:eastAsia="Arial" w:hAnsi="Arial"/>
                <w:sz w:val="18"/>
                <w:szCs w:val="18"/>
                <w:b w:val="1"/>
                <w:bCs w:val="1"/>
                <w:color w:val="auto"/>
              </w:rPr>
              <w:t>2012</w:t>
            </w:r>
          </w:p>
        </w:tc>
        <w:tc>
          <w:tcPr>
            <w:tcW w:w="1600" w:type="dxa"/>
            <w:vAlign w:val="bottom"/>
          </w:tcPr>
          <w:p>
            <w:pPr>
              <w:jc w:val="right"/>
              <w:ind w:right="52"/>
              <w:spacing w:after="0"/>
              <w:rPr>
                <w:sz w:val="20"/>
                <w:szCs w:val="20"/>
                <w:color w:val="auto"/>
              </w:rPr>
            </w:pPr>
            <w:r>
              <w:rPr>
                <w:rFonts w:ascii="Arial" w:cs="Arial" w:eastAsia="Arial" w:hAnsi="Arial"/>
                <w:sz w:val="18"/>
                <w:szCs w:val="18"/>
                <w:color w:val="auto"/>
                <w:w w:val="94"/>
              </w:rPr>
              <w:t>31 December 2011</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w w:val="91"/>
              </w:rPr>
              <w:t>31 December 2011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580" w:type="dxa"/>
            <w:vAlign w:val="bottom"/>
          </w:tcPr>
          <w:p>
            <w:pPr>
              <w:jc w:val="right"/>
              <w:ind w:right="272"/>
              <w:spacing w:after="0"/>
              <w:rPr>
                <w:sz w:val="20"/>
                <w:szCs w:val="20"/>
                <w:color w:val="auto"/>
              </w:rPr>
            </w:pPr>
            <w:r>
              <w:rPr>
                <w:rFonts w:ascii="Arial" w:cs="Arial" w:eastAsia="Arial" w:hAnsi="Arial"/>
                <w:sz w:val="18"/>
                <w:szCs w:val="18"/>
                <w:b w:val="1"/>
                <w:bCs w:val="1"/>
                <w:color w:val="auto"/>
              </w:rPr>
              <w:t>Carrying</w:t>
            </w:r>
          </w:p>
        </w:tc>
        <w:tc>
          <w:tcPr>
            <w:tcW w:w="1420" w:type="dxa"/>
            <w:vAlign w:val="bottom"/>
          </w:tcPr>
          <w:p>
            <w:pPr>
              <w:jc w:val="right"/>
              <w:ind w:right="72"/>
              <w:spacing w:after="0"/>
              <w:rPr>
                <w:sz w:val="20"/>
                <w:szCs w:val="20"/>
                <w:color w:val="auto"/>
              </w:rPr>
            </w:pPr>
            <w:r>
              <w:rPr>
                <w:rFonts w:ascii="Arial" w:cs="Arial" w:eastAsia="Arial" w:hAnsi="Arial"/>
                <w:sz w:val="18"/>
                <w:szCs w:val="18"/>
                <w:b w:val="1"/>
                <w:bCs w:val="1"/>
                <w:color w:val="auto"/>
              </w:rPr>
              <w:t>Fair</w:t>
            </w: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Carrying</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580" w:type="dxa"/>
            <w:vAlign w:val="bottom"/>
          </w:tcPr>
          <w:p>
            <w:pPr>
              <w:jc w:val="right"/>
              <w:ind w:right="272"/>
              <w:spacing w:after="0"/>
              <w:rPr>
                <w:sz w:val="20"/>
                <w:szCs w:val="20"/>
                <w:color w:val="auto"/>
              </w:rPr>
            </w:pPr>
            <w:r>
              <w:rPr>
                <w:rFonts w:ascii="Arial" w:cs="Arial" w:eastAsia="Arial" w:hAnsi="Arial"/>
                <w:sz w:val="18"/>
                <w:szCs w:val="18"/>
                <w:b w:val="1"/>
                <w:bCs w:val="1"/>
                <w:color w:val="auto"/>
              </w:rPr>
              <w:t>Amount</w:t>
            </w:r>
          </w:p>
        </w:tc>
        <w:tc>
          <w:tcPr>
            <w:tcW w:w="1420" w:type="dxa"/>
            <w:vAlign w:val="bottom"/>
          </w:tcPr>
          <w:p>
            <w:pPr>
              <w:jc w:val="right"/>
              <w:ind w:right="72"/>
              <w:spacing w:after="0"/>
              <w:rPr>
                <w:sz w:val="20"/>
                <w:szCs w:val="20"/>
                <w:color w:val="auto"/>
              </w:rPr>
            </w:pPr>
            <w:r>
              <w:rPr>
                <w:rFonts w:ascii="Arial" w:cs="Arial" w:eastAsia="Arial" w:hAnsi="Arial"/>
                <w:sz w:val="18"/>
                <w:szCs w:val="18"/>
                <w:b w:val="1"/>
                <w:bCs w:val="1"/>
                <w:color w:val="auto"/>
              </w:rPr>
              <w:t>Value</w:t>
            </w: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Amount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580" w:type="dxa"/>
            <w:vAlign w:val="bottom"/>
          </w:tcPr>
          <w:p>
            <w:pPr>
              <w:jc w:val="right"/>
              <w:ind w:right="272"/>
              <w:spacing w:after="0"/>
              <w:rPr>
                <w:sz w:val="20"/>
                <w:szCs w:val="20"/>
                <w:color w:val="auto"/>
              </w:rPr>
            </w:pPr>
            <w:r>
              <w:rPr>
                <w:rFonts w:ascii="Arial" w:cs="Arial" w:eastAsia="Arial" w:hAnsi="Arial"/>
                <w:sz w:val="18"/>
                <w:szCs w:val="18"/>
                <w:b w:val="1"/>
                <w:bCs w:val="1"/>
                <w:color w:val="auto"/>
              </w:rPr>
              <w:t>$’000</w:t>
            </w:r>
          </w:p>
        </w:tc>
        <w:tc>
          <w:tcPr>
            <w:tcW w:w="1420" w:type="dxa"/>
            <w:vAlign w:val="bottom"/>
          </w:tcPr>
          <w:p>
            <w:pPr>
              <w:jc w:val="right"/>
              <w:ind w:right="72"/>
              <w:spacing w:after="0"/>
              <w:rPr>
                <w:sz w:val="20"/>
                <w:szCs w:val="20"/>
                <w:color w:val="auto"/>
              </w:rPr>
            </w:pPr>
            <w:r>
              <w:rPr>
                <w:rFonts w:ascii="Arial" w:cs="Arial" w:eastAsia="Arial" w:hAnsi="Arial"/>
                <w:sz w:val="18"/>
                <w:szCs w:val="18"/>
                <w:b w:val="1"/>
                <w:bCs w:val="1"/>
                <w:color w:val="auto"/>
              </w:rPr>
              <w:t>$’000</w:t>
            </w: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$’000</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Loans to subsidiaries</w:t>
            </w:r>
          </w:p>
        </w:tc>
        <w:tc>
          <w:tcPr>
            <w:tcW w:w="25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77,198</w:t>
            </w: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77,198</w:t>
            </w:r>
          </w:p>
        </w:tc>
        <w:tc>
          <w:tcPr>
            <w:tcW w:w="16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73,145</w:t>
            </w: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73,002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Amounts due from subsidiary undertakings</w:t>
            </w:r>
          </w:p>
        </w:tc>
        <w:tc>
          <w:tcPr>
            <w:tcW w:w="2580" w:type="dxa"/>
            <w:vAlign w:val="bottom"/>
          </w:tcPr>
          <w:p>
            <w:pPr>
              <w:jc w:val="right"/>
              <w:ind w:right="272"/>
              <w:spacing w:after="0"/>
              <w:rPr>
                <w:sz w:val="20"/>
                <w:szCs w:val="20"/>
                <w:color w:val="auto"/>
              </w:rPr>
            </w:pPr>
            <w:r>
              <w:rPr>
                <w:rFonts w:ascii="Arial" w:cs="Arial" w:eastAsia="Arial" w:hAnsi="Arial"/>
                <w:sz w:val="18"/>
                <w:szCs w:val="18"/>
                <w:b w:val="1"/>
                <w:bCs w:val="1"/>
                <w:color w:val="auto"/>
              </w:rPr>
              <w:t>45,308</w:t>
            </w:r>
          </w:p>
        </w:tc>
        <w:tc>
          <w:tcPr>
            <w:tcW w:w="1420" w:type="dxa"/>
            <w:vAlign w:val="bottom"/>
          </w:tcPr>
          <w:p>
            <w:pPr>
              <w:jc w:val="right"/>
              <w:ind w:right="72"/>
              <w:spacing w:after="0"/>
              <w:rPr>
                <w:sz w:val="20"/>
                <w:szCs w:val="20"/>
                <w:color w:val="auto"/>
              </w:rPr>
            </w:pPr>
            <w:r>
              <w:rPr>
                <w:rFonts w:ascii="Arial" w:cs="Arial" w:eastAsia="Arial" w:hAnsi="Arial"/>
                <w:sz w:val="18"/>
                <w:szCs w:val="18"/>
                <w:b w:val="1"/>
                <w:bCs w:val="1"/>
                <w:color w:val="auto"/>
              </w:rPr>
              <w:t>45,308</w:t>
            </w: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82,529</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82,529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1,058</w:t>
            </w: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1,058</w:t>
            </w:r>
          </w:p>
        </w:tc>
        <w:tc>
          <w:tcPr>
            <w:tcW w:w="16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3,729</w:t>
            </w: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assets</w:t>
            </w:r>
          </w:p>
        </w:tc>
        <w:tc>
          <w:tcPr>
            <w:tcW w:w="25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3,218</w:t>
            </w: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3,218</w:t>
            </w:r>
          </w:p>
        </w:tc>
        <w:tc>
          <w:tcPr>
            <w:tcW w:w="1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3,446</w:t>
            </w: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126,782</w:t>
            </w: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126,782</w:t>
            </w:r>
          </w:p>
        </w:tc>
        <w:tc>
          <w:tcPr>
            <w:tcW w:w="1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162,849</w:t>
            </w: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162,706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Accounts payable</w:t>
            </w:r>
          </w:p>
        </w:tc>
        <w:tc>
          <w:tcPr>
            <w:tcW w:w="2580" w:type="dxa"/>
            <w:vAlign w:val="bottom"/>
          </w:tcPr>
          <w:p>
            <w:pPr>
              <w:jc w:val="right"/>
              <w:ind w:right="212"/>
              <w:spacing w:after="0"/>
              <w:rPr>
                <w:sz w:val="20"/>
                <w:szCs w:val="20"/>
                <w:color w:val="auto"/>
              </w:rPr>
            </w:pPr>
            <w:r>
              <w:rPr>
                <w:rFonts w:ascii="Arial" w:cs="Arial" w:eastAsia="Arial" w:hAnsi="Arial"/>
                <w:sz w:val="18"/>
                <w:szCs w:val="18"/>
                <w:b w:val="1"/>
                <w:bCs w:val="1"/>
                <w:color w:val="auto"/>
              </w:rPr>
              <w:t>(454)</w:t>
            </w:r>
          </w:p>
        </w:tc>
        <w:tc>
          <w:tcPr>
            <w:tcW w:w="1420" w:type="dxa"/>
            <w:vAlign w:val="bottom"/>
          </w:tcPr>
          <w:p>
            <w:pPr>
              <w:jc w:val="right"/>
              <w:ind w:right="12"/>
              <w:spacing w:after="0"/>
              <w:rPr>
                <w:sz w:val="20"/>
                <w:szCs w:val="20"/>
                <w:color w:val="auto"/>
              </w:rPr>
            </w:pPr>
            <w:r>
              <w:rPr>
                <w:rFonts w:ascii="Arial" w:cs="Arial" w:eastAsia="Arial" w:hAnsi="Arial"/>
                <w:sz w:val="18"/>
                <w:szCs w:val="18"/>
                <w:b w:val="1"/>
                <w:bCs w:val="1"/>
                <w:color w:val="auto"/>
              </w:rPr>
              <w:t>(454)</w:t>
            </w:r>
          </w:p>
        </w:tc>
        <w:tc>
          <w:tcPr>
            <w:tcW w:w="1600" w:type="dxa"/>
            <w:vAlign w:val="bottom"/>
          </w:tcPr>
          <w:p>
            <w:pPr>
              <w:jc w:val="right"/>
              <w:spacing w:after="0"/>
              <w:rPr>
                <w:sz w:val="20"/>
                <w:szCs w:val="20"/>
                <w:color w:val="auto"/>
              </w:rPr>
            </w:pPr>
            <w:r>
              <w:rPr>
                <w:rFonts w:ascii="Arial" w:cs="Arial" w:eastAsia="Arial" w:hAnsi="Arial"/>
                <w:sz w:val="18"/>
                <w:szCs w:val="18"/>
                <w:color w:val="auto"/>
              </w:rPr>
              <w:t>(438)</w:t>
            </w:r>
          </w:p>
        </w:tc>
        <w:tc>
          <w:tcPr>
            <w:tcW w:w="1520" w:type="dxa"/>
            <w:vAlign w:val="bottom"/>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Accruals and other liabilities</w:t>
            </w:r>
          </w:p>
        </w:tc>
        <w:tc>
          <w:tcPr>
            <w:tcW w:w="258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(8,185)</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(8,185)</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(9,238)</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other liabilities</w:t>
            </w:r>
          </w:p>
        </w:tc>
        <w:tc>
          <w:tcPr>
            <w:tcW w:w="25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(4,967)</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(4,967)</w:t>
            </w:r>
          </w:p>
        </w:tc>
        <w:tc>
          <w:tcPr>
            <w:tcW w:w="1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(13,606)</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(13,606)</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(9,676)</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The carrying values of cash and cash equivalents, other current assets, accounts payable, amounts due from subsidiary undertakings and accruals and other liabilities are carried at amortised cost and assumed to be approximate to their fair values due to the short term nature of these balances.</w:t>
      </w:r>
    </w:p>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fair value of loans to subsidiaries for disclosure purposes is calculated based on the present value of future principal and interest cash flows, discounted at the market rate of interest at the reporting date. They are measured on the basis of level three inputs.</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Approval of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approved the Company financial statements on 23 April 2013.</w:t>
      </w:r>
    </w:p>
    <w:p>
      <w:pPr>
        <w:spacing w:after="0" w:line="200" w:lineRule="exact"/>
        <w:rPr>
          <w:sz w:val="20"/>
          <w:szCs w:val="20"/>
          <w:color w:val="auto"/>
        </w:rPr>
      </w:pPr>
    </w:p>
    <w:p>
      <w:pPr>
        <w:spacing w:after="0" w:line="2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512" w:right="1440"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Reconciliation from IFRS to US Accounting Policies</w:t>
      </w: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financial statements of the Group set out on pages 13 to 101 have been prepared in accordance with International Financial Reporting Standards (“IFRS”), as adopted by the European Union (“EU IFRS”), which differ in certain significant respects from generally accepted accounting principles applicable in the U.S. (“U.S. GAAP”). The material differences as they apply to the Group’s financial statements are as follows:</w:t>
      </w:r>
    </w:p>
    <w:p>
      <w:pPr>
        <w:spacing w:after="0" w:line="19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Financial statement format</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format of the financial statements and certain note disclosures differ under U.S. GAAP from those under EU IFRS. The Group prepared a U.S. Securities and Exchange Commission Form 20-F Report which was made available to all shareholders in March 2013. The financial statements included in such Form 20-F are prepared in accordance with U.S. GAAP.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Merger with PRAI</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The Group accounts for business combinations under EU IFRS in accordance with the IFRS 3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 permitted by IFRS 1 </w:t>
      </w:r>
      <w:r>
        <w:rPr>
          <w:rFonts w:ascii="Arial" w:cs="Arial" w:eastAsia="Arial" w:hAnsi="Arial"/>
          <w:sz w:val="17"/>
          <w:szCs w:val="17"/>
          <w:i w:val="1"/>
          <w:iCs w:val="1"/>
          <w:color w:val="auto"/>
        </w:rPr>
        <w:t>First Time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Adoption of International Financial Reporting Standards </w:t>
      </w:r>
      <w:r>
        <w:rPr>
          <w:rFonts w:ascii="Arial" w:cs="Arial" w:eastAsia="Arial" w:hAnsi="Arial"/>
          <w:sz w:val="17"/>
          <w:szCs w:val="17"/>
          <w:color w:val="auto"/>
        </w:rPr>
        <w:t>the Group has only restated business combinations from 1 June 2001 onwards. Business combinations</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this date have not been restated. In addition, goodwill has no longer been amortised since 1 June 2001, but rather is tested annually for impairment. U.S. GAAP adopts different criteria to EU IFRS for establishing the method of accounting to be adopted for business combinations. On 28 January 2000 the Group completed a transaction with Pacific Research Associates Inc. (“PRAI”), a Group specialising in data management, statistical analysis and medical and regulatory consulting based in San Francisco, USA. The merger with PRAI was accounted for using acquisition accounting principles in accordance with EU IFRS whilst U.S. GAAP required that the merger be accounted for using the pooling-of-interest method of accounting. U.S. GAAP pooling-of-interest accounting has resulted in a number of adjustments. Most significantly</w:t>
      </w:r>
    </w:p>
    <w:p>
      <w:pPr>
        <w:spacing w:after="0" w:line="209" w:lineRule="exact"/>
        <w:rPr>
          <w:sz w:val="20"/>
          <w:szCs w:val="20"/>
          <w:color w:val="auto"/>
        </w:rPr>
      </w:pPr>
    </w:p>
    <w:p>
      <w:pPr>
        <w:ind w:left="380" w:hanging="374"/>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Group’s historic US GAAP financial statements have been restated to reflect the combined results of ICON and PRAI;</w:t>
      </w:r>
    </w:p>
    <w:p>
      <w:pPr>
        <w:spacing w:after="0" w:line="16" w:lineRule="exact"/>
        <w:rPr>
          <w:rFonts w:ascii="Arial" w:cs="Arial" w:eastAsia="Arial" w:hAnsi="Arial"/>
          <w:sz w:val="18"/>
          <w:szCs w:val="18"/>
          <w:color w:val="auto"/>
        </w:rPr>
      </w:pPr>
    </w:p>
    <w:p>
      <w:pPr>
        <w:ind w:left="380" w:hanging="374"/>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of the merger were expensed for U.S. GAAP purposes and included in the cost of acquisition for IFRS;</w:t>
      </w:r>
    </w:p>
    <w:p>
      <w:pPr>
        <w:spacing w:after="0" w:line="5" w:lineRule="exact"/>
        <w:rPr>
          <w:rFonts w:ascii="Arial" w:cs="Arial" w:eastAsia="Arial" w:hAnsi="Arial"/>
          <w:sz w:val="18"/>
          <w:szCs w:val="18"/>
          <w:color w:val="auto"/>
        </w:rPr>
      </w:pPr>
    </w:p>
    <w:p>
      <w:pPr>
        <w:ind w:left="380" w:hanging="374"/>
        <w:spacing w:after="0"/>
        <w:tabs>
          <w:tab w:leader="none" w:pos="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goodwill arising on IFRS has been amortised over its expected useful life up to 31 May 2001. No goodwill arose on the merger under U.S. GAAP;</w:t>
      </w:r>
    </w:p>
    <w:p>
      <w:pPr>
        <w:spacing w:after="0" w:line="16" w:lineRule="exact"/>
        <w:rPr>
          <w:rFonts w:ascii="Arial" w:cs="Arial" w:eastAsia="Arial" w:hAnsi="Arial"/>
          <w:sz w:val="17"/>
          <w:szCs w:val="17"/>
          <w:color w:val="auto"/>
        </w:rPr>
      </w:pPr>
    </w:p>
    <w:p>
      <w:pPr>
        <w:ind w:left="380" w:hanging="374"/>
        <w:spacing w:after="0"/>
        <w:tabs>
          <w:tab w:leader="none" w:pos="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tax charge arising on the conversion of PRAI from an S-Corporation to a C-Corporation is treated as a pre acquisition charge under IFRS.</w:t>
      </w:r>
    </w:p>
    <w:p>
      <w:pPr>
        <w:spacing w:after="0" w:line="238" w:lineRule="exact"/>
        <w:rPr>
          <w:sz w:val="20"/>
          <w:szCs w:val="20"/>
          <w:color w:val="auto"/>
        </w:rPr>
      </w:pPr>
    </w:p>
    <w:p>
      <w:pPr>
        <w:ind w:left="420" w:hanging="414"/>
        <w:spacing w:after="0"/>
        <w:tabs>
          <w:tab w:leader="none" w:pos="4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payment expense</w:t>
      </w: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IFRS requires that the fair value of share based payments be expensed to the income statement over the period the related services are received, with a corresponding increase in equity. In the year ending 31 December 2012, the Group has accounted for share based payments under U.S. GAAP in accordance with </w:t>
      </w:r>
      <w:r>
        <w:rPr>
          <w:rFonts w:ascii="Arial" w:cs="Arial" w:eastAsia="Arial" w:hAnsi="Arial"/>
          <w:sz w:val="17"/>
          <w:szCs w:val="17"/>
          <w:i w:val="1"/>
          <w:iCs w:val="1"/>
          <w:color w:val="auto"/>
        </w:rPr>
        <w:t>FASB ASC 718, Compensation – Stock Compensation</w:t>
      </w:r>
      <w:r>
        <w:rPr>
          <w:rFonts w:ascii="Arial" w:cs="Arial" w:eastAsia="Arial" w:hAnsi="Arial"/>
          <w:sz w:val="17"/>
          <w:szCs w:val="17"/>
          <w:color w:val="auto"/>
        </w:rPr>
        <w:t>, which also requires that the fair value of share based payments be expensed to the income statement over the period the related services are received, with a corresponding increase in equity. There is a difference in recorded expense because firstly different periods are in scope for both treatments due to the different effective dates under both standards and secondly due to different models used to calculate the fair value of options. Under US GAAP the Black-Scholes model was used for the calculation of the expense whereas under IFRS this model is not the preferred model to be used and as such the binomial model is used.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 xml:space="preserve">Reconciliation from IFRS to US Accounting Principles </w:t>
      </w:r>
      <w:r>
        <w:rPr>
          <w:rFonts w:ascii="Arial" w:cs="Arial" w:eastAsia="Arial" w:hAnsi="Arial"/>
          <w:sz w:val="18"/>
          <w:szCs w:val="18"/>
          <w:i w:val="1"/>
          <w:iCs w:val="1"/>
          <w:color w:val="auto"/>
        </w:rPr>
        <w:t>(continued)</w:t>
      </w:r>
    </w:p>
    <w:p>
      <w:pPr>
        <w:spacing w:after="0" w:line="238" w:lineRule="exact"/>
        <w:rPr>
          <w:sz w:val="20"/>
          <w:szCs w:val="20"/>
          <w:color w:val="auto"/>
        </w:rPr>
      </w:pPr>
    </w:p>
    <w:p>
      <w:pPr>
        <w:ind w:left="400" w:hanging="394"/>
        <w:spacing w:after="0"/>
        <w:tabs>
          <w:tab w:leader="none" w:pos="4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Deferred tax assets</w:t>
      </w:r>
    </w:p>
    <w:p>
      <w:pPr>
        <w:spacing w:after="0" w:line="25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IFRS requires that the fair value of share based payments, including share options issued to employees, is expensed to the income statement over the period the related services are received, with a corresponding increase in equity. Under U.S. tax law the Group receives a tax deduction when U.S. employee share options are exercised. This deduction is measured as the intrinsic value of the share options at the date the options are exercised. Therefore, the tax deduction generally arises in different amounts and in different periods from compensation cost recognised in the financial statements.</w:t>
      </w:r>
    </w:p>
    <w:p>
      <w:pPr>
        <w:spacing w:after="0" w:line="173"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 xml:space="preserve">Under US GAAP, FASB ASC 740,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the Group has recognised a deferred tax asset for the cumulative amount of compensation cost recognised in the financial statements for options that will result in a future tax deduction. A similar deferred tax asset is also recognised under IFRS for options that will result in a future tax deduction, however, under IAS 12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if the tax deduction available in future periods is not known at the end of the period it is estimated based on information available at the end of the period. As the tax deduction is dependent upon the Group’s share price at the exercise date, the measurement of the deductible temporary difference is based on the Group’s share price at the end of the period. Where the amount of the estimated future tax deduction exceeds the amount of the related cumulative remuneration expense, the deferred tax associated with the excess is recognised directly in equity.</w:t>
      </w:r>
    </w:p>
    <w:p>
      <w:pPr>
        <w:spacing w:after="0" w:line="173" w:lineRule="exact"/>
        <w:rPr>
          <w:sz w:val="20"/>
          <w:szCs w:val="20"/>
          <w:color w:val="auto"/>
        </w:rPr>
      </w:pPr>
    </w:p>
    <w:p>
      <w:pPr>
        <w:ind w:left="420" w:hanging="414"/>
        <w:spacing w:after="0"/>
        <w:tabs>
          <w:tab w:leader="none" w:pos="4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Forward-looking statements</w:t>
      </w:r>
    </w:p>
    <w:p>
      <w:pPr>
        <w:spacing w:after="0" w:line="25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To the extent any statements made in this annual report deal with information that is not historical, these statements are necessarily forward-looking. Because forward-looking statements relate to the future, they are subject to inherent uncertainties, risks and changes in circumstances that are difficult to predict and many of which are outside of the Group’s control. Any forward-looking statement made by the Group is based only on information currently available as at the time of publication of this report. Forward-looking statements are subject to the occurrence of many events outside of the Group’s control and are subject to various risk factors that would cause our results to differ materially from those expressed in any forward-looking statement. These risk factors described in Appendix A on pages 120 to 127 include, without limitation, the inherent risk of dependence on pharmaceutical and biotechnology industries and certain clients, termination or delay of large contracts, risk of cost overruns, the risk of clinical outcomes, regulatory risks, and market competition.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 xml:space="preserve">Reconciliation from IFRS to US Accounting Principles </w:t>
      </w:r>
      <w:r>
        <w:rPr>
          <w:rFonts w:ascii="Arial" w:cs="Arial" w:eastAsia="Arial" w:hAnsi="Arial"/>
          <w:sz w:val="18"/>
          <w:szCs w:val="18"/>
          <w:i w:val="1"/>
          <w:iCs w:val="1"/>
          <w:color w:val="auto"/>
        </w:rPr>
        <w:t>(continued)</w:t>
      </w:r>
    </w:p>
    <w:p>
      <w:pPr>
        <w:spacing w:after="0" w:line="244"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following is a summary of the material adjustments to profit for the financial year and shareholders’ equity, which would be required, had the financial statements been prepared in accordance with U.S. GAAP.</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Effect on profit for the financial year</w:t>
            </w:r>
          </w:p>
        </w:tc>
        <w:tc>
          <w:tcPr>
            <w:tcW w:w="4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640" w:type="dxa"/>
            <w:vAlign w:val="bottom"/>
          </w:tcPr>
          <w:p>
            <w:pPr>
              <w:jc w:val="right"/>
              <w:ind w:right="152"/>
              <w:spacing w:after="0"/>
              <w:rPr>
                <w:sz w:val="20"/>
                <w:szCs w:val="20"/>
                <w:color w:val="auto"/>
              </w:rPr>
            </w:pPr>
            <w:r>
              <w:rPr>
                <w:rFonts w:ascii="Arial" w:cs="Arial" w:eastAsia="Arial" w:hAnsi="Arial"/>
                <w:sz w:val="18"/>
                <w:szCs w:val="18"/>
                <w:b w:val="1"/>
                <w:bCs w:val="1"/>
                <w:color w:val="auto"/>
              </w:rPr>
              <w:t>Year ended</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64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64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464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89"/>
              </w:rPr>
              <w:t>Profit for the financial year attributable to equity holders as stated under IFRS</w:t>
            </w:r>
          </w:p>
        </w:tc>
        <w:tc>
          <w:tcPr>
            <w:tcW w:w="46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58,346</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19,230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GAAP adjustments</w:t>
            </w:r>
          </w:p>
        </w:tc>
        <w:tc>
          <w:tcPr>
            <w:tcW w:w="46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Share based payment expense under IFRS</w:t>
            </w:r>
          </w:p>
        </w:tc>
        <w:tc>
          <w:tcPr>
            <w:tcW w:w="4640" w:type="dxa"/>
            <w:vAlign w:val="bottom"/>
          </w:tcPr>
          <w:p>
            <w:pPr>
              <w:jc w:val="right"/>
              <w:ind w:right="152"/>
              <w:spacing w:after="0"/>
              <w:rPr>
                <w:sz w:val="20"/>
                <w:szCs w:val="20"/>
                <w:color w:val="auto"/>
              </w:rPr>
            </w:pPr>
            <w:r>
              <w:rPr>
                <w:rFonts w:ascii="Arial" w:cs="Arial" w:eastAsia="Arial" w:hAnsi="Arial"/>
                <w:sz w:val="18"/>
                <w:szCs w:val="18"/>
                <w:b w:val="1"/>
                <w:bCs w:val="1"/>
                <w:color w:val="auto"/>
              </w:rPr>
              <w:t>10,217</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9,564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 expense under U.S. GAAP</w:t>
            </w:r>
          </w:p>
        </w:tc>
        <w:tc>
          <w:tcPr>
            <w:tcW w:w="46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(11,521)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Deferred tax adjustments on share based payments</w:t>
            </w:r>
          </w:p>
        </w:tc>
        <w:tc>
          <w:tcPr>
            <w:tcW w:w="4640" w:type="dxa"/>
            <w:vAlign w:val="bottom"/>
          </w:tcPr>
          <w:p>
            <w:pPr>
              <w:jc w:val="right"/>
              <w:ind w:right="92"/>
              <w:spacing w:after="0"/>
              <w:rPr>
                <w:sz w:val="20"/>
                <w:szCs w:val="20"/>
                <w:color w:val="auto"/>
              </w:rPr>
            </w:pPr>
            <w:r>
              <w:rPr>
                <w:rFonts w:ascii="Arial" w:cs="Arial" w:eastAsia="Arial" w:hAnsi="Arial"/>
                <w:sz w:val="18"/>
                <w:szCs w:val="18"/>
                <w:b w:val="1"/>
                <w:bCs w:val="1"/>
                <w:color w:val="auto"/>
              </w:rPr>
              <w:t>(1,443)</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Additional pension costs on defined benefit pension scheme</w:t>
            </w:r>
          </w:p>
        </w:tc>
        <w:tc>
          <w:tcPr>
            <w:tcW w:w="46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(179)</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as stated under U.S. GAAP</w:t>
            </w:r>
          </w:p>
        </w:tc>
        <w:tc>
          <w:tcPr>
            <w:tcW w:w="46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55,420</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22,880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54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Basic earnings per Ordinary Share under U.S. GAAP</w:t>
            </w:r>
          </w:p>
        </w:tc>
        <w:tc>
          <w:tcPr>
            <w:tcW w:w="46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$0.92</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Diluted earnings per Ordinary Share under U.S. GAAP</w:t>
            </w:r>
          </w:p>
        </w:tc>
        <w:tc>
          <w:tcPr>
            <w:tcW w:w="46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$0.92</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443"/>
        </w:trPr>
        <w:tc>
          <w:tcPr>
            <w:tcW w:w="5560" w:type="dxa"/>
            <w:vAlign w:val="bottom"/>
            <w:gridSpan w:val="2"/>
          </w:tcPr>
          <w:p>
            <w:pPr>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i w:val="1"/>
                <w:iCs w:val="1"/>
                <w:color w:val="auto"/>
              </w:rPr>
              <w:t>Effect on shareholders’ equity</w:t>
            </w:r>
          </w:p>
        </w:tc>
        <w:tc>
          <w:tcPr>
            <w:tcW w:w="4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64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64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464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 as stated under IFRS</w:t>
            </w:r>
          </w:p>
        </w:tc>
        <w:tc>
          <w:tcPr>
            <w:tcW w:w="46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766,441</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691,848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GAAP adjustments</w:t>
            </w:r>
          </w:p>
        </w:tc>
        <w:tc>
          <w:tcPr>
            <w:tcW w:w="46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Goodwill arising on merger with PRAI</w:t>
            </w:r>
          </w:p>
        </w:tc>
        <w:tc>
          <w:tcPr>
            <w:tcW w:w="4640" w:type="dxa"/>
            <w:vAlign w:val="bottom"/>
          </w:tcPr>
          <w:p>
            <w:pPr>
              <w:jc w:val="right"/>
              <w:ind w:right="92"/>
              <w:spacing w:after="0"/>
              <w:rPr>
                <w:sz w:val="20"/>
                <w:szCs w:val="20"/>
                <w:color w:val="auto"/>
              </w:rPr>
            </w:pPr>
            <w:r>
              <w:rPr>
                <w:rFonts w:ascii="Arial" w:cs="Arial" w:eastAsia="Arial" w:hAnsi="Arial"/>
                <w:sz w:val="18"/>
                <w:szCs w:val="18"/>
                <w:b w:val="1"/>
                <w:bCs w:val="1"/>
                <w:color w:val="auto"/>
              </w:rPr>
              <w:t>(15,010)</w:t>
            </w:r>
          </w:p>
        </w:tc>
        <w:tc>
          <w:tcPr>
            <w:tcW w:w="1220" w:type="dxa"/>
            <w:vAlign w:val="bottom"/>
          </w:tcPr>
          <w:p>
            <w:pPr>
              <w:jc w:val="right"/>
              <w:spacing w:after="0"/>
              <w:rPr>
                <w:sz w:val="20"/>
                <w:szCs w:val="20"/>
                <w:color w:val="auto"/>
              </w:rPr>
            </w:pPr>
            <w:r>
              <w:rPr>
                <w:rFonts w:ascii="Arial" w:cs="Arial" w:eastAsia="Arial" w:hAnsi="Arial"/>
                <w:sz w:val="18"/>
                <w:szCs w:val="18"/>
                <w:color w:val="auto"/>
              </w:rPr>
              <w:t>(15,010)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Amortisation of goodwill arising on merger with PRAI</w:t>
            </w:r>
          </w:p>
        </w:tc>
        <w:tc>
          <w:tcPr>
            <w:tcW w:w="46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1,001</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adjustments on share based payments</w:t>
            </w:r>
          </w:p>
        </w:tc>
        <w:tc>
          <w:tcPr>
            <w:tcW w:w="4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2,143</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Shareholders’ equity as stated under U.S. GAAP</w:t>
            </w:r>
          </w:p>
        </w:tc>
        <w:tc>
          <w:tcPr>
            <w:tcW w:w="4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754,575</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681,544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640" w:type="dxa"/>
            <w:vAlign w:val="bottom"/>
          </w:tcPr>
          <w:p>
            <w:pPr>
              <w:jc w:val="right"/>
              <w:ind w:right="4272"/>
              <w:spacing w:after="0"/>
              <w:rPr>
                <w:sz w:val="20"/>
                <w:szCs w:val="20"/>
                <w:color w:val="auto"/>
              </w:rPr>
            </w:pPr>
            <w:r>
              <w:rPr>
                <w:rFonts w:ascii="Arial" w:cs="Arial" w:eastAsia="Arial" w:hAnsi="Arial"/>
                <w:sz w:val="18"/>
                <w:szCs w:val="18"/>
                <w:color w:val="auto"/>
                <w:w w:val="86"/>
              </w:rPr>
              <w:t>118</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c>
          <w:tcPr>
            <w:tcW w:w="46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w w:val="98"/>
              </w:rPr>
              <w:t xml:space="preserve">Reconciliation from IFRS to US Accounting Principles </w:t>
            </w:r>
            <w:r>
              <w:rPr>
                <w:rFonts w:ascii="Arial" w:cs="Arial" w:eastAsia="Arial" w:hAnsi="Arial"/>
                <w:sz w:val="18"/>
                <w:szCs w:val="18"/>
                <w:i w:val="1"/>
                <w:iCs w:val="1"/>
                <w:color w:val="auto"/>
                <w:w w:val="98"/>
              </w:rPr>
              <w:t>(continued)</w:t>
            </w:r>
          </w:p>
        </w:tc>
        <w:tc>
          <w:tcPr>
            <w:tcW w:w="5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5180" w:type="dxa"/>
            <w:vAlign w:val="bottom"/>
            <w:gridSpan w:val="2"/>
          </w:tcPr>
          <w:p>
            <w:pPr>
              <w:spacing w:after="0"/>
              <w:rPr>
                <w:sz w:val="20"/>
                <w:szCs w:val="20"/>
                <w:color w:val="auto"/>
              </w:rPr>
            </w:pPr>
            <w:r>
              <w:rPr>
                <w:rFonts w:ascii="Arial" w:cs="Arial" w:eastAsia="Arial" w:hAnsi="Arial"/>
                <w:sz w:val="18"/>
                <w:szCs w:val="18"/>
                <w:color w:val="auto"/>
              </w:rPr>
              <w:t xml:space="preserve">(iii) </w:t>
            </w:r>
            <w:r>
              <w:rPr>
                <w:rFonts w:ascii="Arial" w:cs="Arial" w:eastAsia="Arial" w:hAnsi="Arial"/>
                <w:sz w:val="18"/>
                <w:szCs w:val="18"/>
                <w:i w:val="1"/>
                <w:iCs w:val="1"/>
                <w:color w:val="auto"/>
              </w:rPr>
              <w:t>Effect on total assets</w:t>
            </w:r>
          </w:p>
        </w:tc>
        <w:tc>
          <w:tcPr>
            <w:tcW w:w="5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02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02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502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stated under IFRS</w:t>
            </w:r>
          </w:p>
        </w:tc>
        <w:tc>
          <w:tcPr>
            <w:tcW w:w="50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1,205,173</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1,031,266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GAAP adjustments</w:t>
            </w:r>
          </w:p>
        </w:tc>
        <w:tc>
          <w:tcPr>
            <w:tcW w:w="5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Goodwill arising on merger with PRAI</w:t>
            </w:r>
          </w:p>
        </w:tc>
        <w:tc>
          <w:tcPr>
            <w:tcW w:w="5020" w:type="dxa"/>
            <w:vAlign w:val="bottom"/>
          </w:tcPr>
          <w:p>
            <w:pPr>
              <w:jc w:val="right"/>
              <w:ind w:right="92"/>
              <w:spacing w:after="0"/>
              <w:rPr>
                <w:sz w:val="20"/>
                <w:szCs w:val="20"/>
                <w:color w:val="auto"/>
              </w:rPr>
            </w:pPr>
            <w:r>
              <w:rPr>
                <w:rFonts w:ascii="Arial" w:cs="Arial" w:eastAsia="Arial" w:hAnsi="Arial"/>
                <w:sz w:val="18"/>
                <w:szCs w:val="18"/>
                <w:b w:val="1"/>
                <w:bCs w:val="1"/>
                <w:color w:val="auto"/>
              </w:rPr>
              <w:t>(15,010)</w:t>
            </w:r>
          </w:p>
        </w:tc>
        <w:tc>
          <w:tcPr>
            <w:tcW w:w="1220" w:type="dxa"/>
            <w:vAlign w:val="bottom"/>
          </w:tcPr>
          <w:p>
            <w:pPr>
              <w:jc w:val="right"/>
              <w:spacing w:after="0"/>
              <w:rPr>
                <w:sz w:val="20"/>
                <w:szCs w:val="20"/>
                <w:color w:val="auto"/>
              </w:rPr>
            </w:pPr>
            <w:r>
              <w:rPr>
                <w:rFonts w:ascii="Arial" w:cs="Arial" w:eastAsia="Arial" w:hAnsi="Arial"/>
                <w:sz w:val="18"/>
                <w:szCs w:val="18"/>
                <w:color w:val="auto"/>
              </w:rPr>
              <w:t>(15,010)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Amortisation of goodwill arising on merger with PRAI</w:t>
            </w:r>
          </w:p>
        </w:tc>
        <w:tc>
          <w:tcPr>
            <w:tcW w:w="50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1,001</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Deferred tax adjustments on share based payments</w:t>
            </w:r>
          </w:p>
        </w:tc>
        <w:tc>
          <w:tcPr>
            <w:tcW w:w="5020" w:type="dxa"/>
            <w:vAlign w:val="bottom"/>
          </w:tcPr>
          <w:p>
            <w:pPr>
              <w:jc w:val="right"/>
              <w:ind w:right="152"/>
              <w:spacing w:after="0"/>
              <w:rPr>
                <w:sz w:val="20"/>
                <w:szCs w:val="20"/>
                <w:color w:val="auto"/>
              </w:rPr>
            </w:pPr>
            <w:r>
              <w:rPr>
                <w:rFonts w:ascii="Arial" w:cs="Arial" w:eastAsia="Arial" w:hAnsi="Arial"/>
                <w:sz w:val="18"/>
                <w:szCs w:val="18"/>
                <w:b w:val="1"/>
                <w:bCs w:val="1"/>
                <w:color w:val="auto"/>
              </w:rPr>
              <w:t>2,143</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Offset between deferred tax assets and liabilities</w:t>
            </w:r>
          </w:p>
        </w:tc>
        <w:tc>
          <w:tcPr>
            <w:tcW w:w="50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8,801</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6,555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 as stated under U.S. GAAP</w:t>
            </w:r>
          </w:p>
        </w:tc>
        <w:tc>
          <w:tcPr>
            <w:tcW w:w="50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1,202,108</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1,027,517</w:t>
            </w:r>
          </w:p>
        </w:tc>
        <w:tc>
          <w:tcPr>
            <w:tcW w:w="0" w:type="dxa"/>
            <w:vAlign w:val="bottom"/>
          </w:tcPr>
          <w:p>
            <w:pPr>
              <w:spacing w:after="0"/>
              <w:rPr>
                <w:sz w:val="1"/>
                <w:szCs w:val="1"/>
                <w:color w:val="auto"/>
              </w:rPr>
            </w:pPr>
          </w:p>
        </w:tc>
      </w:tr>
      <w:tr>
        <w:trPr>
          <w:trHeight w:val="443"/>
        </w:trPr>
        <w:tc>
          <w:tcPr>
            <w:tcW w:w="5180" w:type="dxa"/>
            <w:vAlign w:val="bottom"/>
            <w:gridSpan w:val="2"/>
          </w:tcPr>
          <w:p>
            <w:pPr>
              <w:spacing w:after="0"/>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i w:val="1"/>
                <w:iCs w:val="1"/>
                <w:color w:val="auto"/>
              </w:rPr>
              <w:t>Effect on total liabilities</w:t>
            </w:r>
          </w:p>
        </w:tc>
        <w:tc>
          <w:tcPr>
            <w:tcW w:w="5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020" w:type="dxa"/>
            <w:vAlign w:val="bottom"/>
          </w:tcPr>
          <w:p>
            <w:pPr>
              <w:jc w:val="right"/>
              <w:ind w:right="152"/>
              <w:spacing w:after="0"/>
              <w:rPr>
                <w:sz w:val="20"/>
                <w:szCs w:val="20"/>
                <w:color w:val="auto"/>
              </w:rPr>
            </w:pPr>
            <w:r>
              <w:rPr>
                <w:rFonts w:ascii="Arial" w:cs="Arial" w:eastAsia="Arial" w:hAnsi="Arial"/>
                <w:sz w:val="18"/>
                <w:szCs w:val="18"/>
                <w:b w:val="1"/>
                <w:bCs w:val="1"/>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02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5020" w:type="dxa"/>
            <w:vAlign w:val="bottom"/>
          </w:tcPr>
          <w:p>
            <w:pPr>
              <w:jc w:val="right"/>
              <w:ind w:right="152"/>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 stated under IFRS</w:t>
            </w:r>
          </w:p>
        </w:tc>
        <w:tc>
          <w:tcPr>
            <w:tcW w:w="50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438,732</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339,418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GAAP adjustments</w:t>
            </w:r>
          </w:p>
        </w:tc>
        <w:tc>
          <w:tcPr>
            <w:tcW w:w="5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Offset between deferred tax assets and liabilities</w:t>
            </w:r>
          </w:p>
        </w:tc>
        <w:tc>
          <w:tcPr>
            <w:tcW w:w="5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8,801</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6,555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as stated under U.S. GAAP</w:t>
            </w:r>
          </w:p>
        </w:tc>
        <w:tc>
          <w:tcPr>
            <w:tcW w:w="5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447,533</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345,973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020" w:type="dxa"/>
            <w:vAlign w:val="bottom"/>
          </w:tcPr>
          <w:p>
            <w:pPr>
              <w:jc w:val="right"/>
              <w:ind w:right="4272"/>
              <w:spacing w:after="0"/>
              <w:rPr>
                <w:sz w:val="20"/>
                <w:szCs w:val="20"/>
                <w:color w:val="auto"/>
              </w:rPr>
            </w:pPr>
            <w:r>
              <w:rPr>
                <w:rFonts w:ascii="Arial" w:cs="Arial" w:eastAsia="Arial" w:hAnsi="Arial"/>
                <w:sz w:val="18"/>
                <w:szCs w:val="18"/>
                <w:color w:val="auto"/>
              </w:rPr>
              <w:t>119</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160" w:type="dxa"/>
            <w:vAlign w:val="bottom"/>
            <w:tcBorders>
              <w:bottom w:val="single" w:sz="8" w:color="808080"/>
            </w:tcBorders>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Appendix A: Risk Factors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business and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a limited number of clients and a loss of or significant decrease in business from them or one or more of them could affect our business.</w:t>
      </w:r>
    </w:p>
    <w:p>
      <w:pPr>
        <w:spacing w:after="0" w:line="2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in the past and may in the future derive a significant portion of our net revenue from a relatively limited number of major projects or clients. During the years ended 31 December 2012, 31 December 2011 and 31 December 2010, 48%, 37% and 33% of our net revenues were derived from our top five clients. During the year ended 31 December 2012 18% and 12% of our net revenues were derived from two clients, with no other client contributing more than 10% of net revenues during this period. During the year ended 31 December 2011 13% of our net revenues were derived from one client, with no other client contributing more than 10% of net revenues during this period. During the year ended 31 December 2010 no one client contributed more than 10% of net revenues. The loss of, or a significant decrease in business from one or more of these key clients could have a material adverse impact on our results of operations.</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Many of our contracts are long-term fixed-fee contracts. We would lose money in performing these contracts if the costs of performance exceed the fixed fees for these projects and we were unable to negotiate a change order for the value of work performed</w:t>
      </w:r>
      <w:r>
        <w:rPr>
          <w:rFonts w:ascii="Arial" w:cs="Arial" w:eastAsia="Arial" w:hAnsi="Arial"/>
          <w:sz w:val="17"/>
          <w:szCs w:val="17"/>
          <w:color w:val="auto"/>
        </w:rPr>
        <w:t>.</w:t>
      </w:r>
    </w:p>
    <w:p>
      <w:pPr>
        <w:spacing w:after="0" w:line="184"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Many of our contracts are long-term fixed fee contracts. Revenues on these contracts are agreed in the contract between the Group and the customer and are based on estimated time inputs to the contract. Factors considered in estimating time requirements include the complexity of the study, the number of geographical sites where trials are to be conducted and the number of patients to be recruited at each site. The Group regularly reviews the estimated hours on each contract to determine if the budget accurately reflects the agreed tasks to be performed taking into account the state of progress at the time of review. The Group further endeavours to ensure that changes in scope are appropriately monitored and change orders for additional revenue are promptly negotiated for additional work as necessary. If we were to fail to recognise and negotiate change orders for changes in the resources required or the scope of the work to be performed the Group could lose money if the costs of performance of these contracts exceeded their fixed fees.</w:t>
      </w:r>
    </w:p>
    <w:p>
      <w:pPr>
        <w:spacing w:after="0" w:line="179"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b w:val="1"/>
          <w:bCs w:val="1"/>
          <w:i w:val="1"/>
          <w:iCs w:val="1"/>
          <w:color w:val="auto"/>
        </w:rPr>
        <w:t>If our clients discontinue using our services, or cancel or discontinue projects, our revenue will be adversely affected and/or we may not receive their business in the future or may not be able to attract new clients.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w:t>
      </w:r>
    </w:p>
    <w:p>
      <w:pPr>
        <w:spacing w:after="0" w:line="215" w:lineRule="exact"/>
        <w:rPr>
          <w:sz w:val="20"/>
          <w:szCs w:val="20"/>
          <w:color w:val="auto"/>
        </w:rPr>
      </w:pPr>
    </w:p>
    <w:p>
      <w:pPr>
        <w:ind w:left="700" w:hanging="349"/>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failure of products being tested to satisfy safety or efficacy requirements;</w:t>
      </w:r>
    </w:p>
    <w:p>
      <w:pPr>
        <w:spacing w:after="0" w:line="16" w:lineRule="exact"/>
        <w:rPr>
          <w:rFonts w:ascii="Arial" w:cs="Arial" w:eastAsia="Arial" w:hAnsi="Arial"/>
          <w:sz w:val="18"/>
          <w:szCs w:val="18"/>
          <w:color w:val="auto"/>
        </w:rPr>
      </w:pPr>
    </w:p>
    <w:p>
      <w:pPr>
        <w:ind w:left="700" w:hanging="349"/>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unexpected or undesired clinical results of the product;</w:t>
      </w:r>
    </w:p>
    <w:p>
      <w:pPr>
        <w:spacing w:after="0" w:line="5" w:lineRule="exact"/>
        <w:rPr>
          <w:rFonts w:ascii="Arial" w:cs="Arial" w:eastAsia="Arial" w:hAnsi="Arial"/>
          <w:sz w:val="18"/>
          <w:szCs w:val="18"/>
          <w:color w:val="auto"/>
        </w:rPr>
      </w:pPr>
    </w:p>
    <w:p>
      <w:pPr>
        <w:ind w:left="700" w:hanging="349"/>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decision that a particular study is no longer necessary or viable;</w:t>
      </w:r>
    </w:p>
    <w:p>
      <w:pPr>
        <w:spacing w:after="0" w:line="5" w:lineRule="exact"/>
        <w:rPr>
          <w:rFonts w:ascii="Arial" w:cs="Arial" w:eastAsia="Arial" w:hAnsi="Arial"/>
          <w:sz w:val="18"/>
          <w:szCs w:val="18"/>
          <w:color w:val="auto"/>
        </w:rPr>
      </w:pPr>
    </w:p>
    <w:p>
      <w:pPr>
        <w:ind w:left="700" w:hanging="349"/>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poor project performance, quality concerns, insufficient patient enrollment or investigator recruitment; or</w:t>
      </w:r>
    </w:p>
    <w:p>
      <w:pPr>
        <w:spacing w:after="0" w:line="5" w:lineRule="exact"/>
        <w:rPr>
          <w:rFonts w:ascii="Arial" w:cs="Arial" w:eastAsia="Arial" w:hAnsi="Arial"/>
          <w:sz w:val="18"/>
          <w:szCs w:val="18"/>
          <w:color w:val="auto"/>
        </w:rPr>
      </w:pPr>
    </w:p>
    <w:p>
      <w:pPr>
        <w:ind w:left="700" w:hanging="349"/>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production problems resulting in shortages of the drug.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If we lose clients, we may not be able to attract new ones, and if we lose individual projects, we may not be able to replace them.</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or retain qualified staff, our performance may suffer.</w:t>
      </w:r>
    </w:p>
    <w:p>
      <w:pPr>
        <w:spacing w:after="0" w:line="2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future success and ability to continue and expand operations depend upon our ability to attract, hire, train and retain qualified professional, scientific and technical operating staff. We compete for qualified professionals with other Clinical Research Organisations “CROs”, temporary staffing agencies and the in-house departments of pharmaceutical, biotechnology and medical device companies. An inability to attract a sufficient number and calibre of clinical research professionals at an acceptable cost would impact our future performace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perform clinical trials is dependent upon the ability to recruit suitable willing patients.</w:t>
      </w:r>
    </w:p>
    <w:p>
      <w:pPr>
        <w:spacing w:after="0" w:line="24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successful completion of clinical trials is dependent upon the ability to recruit suitable and willing patients on which to test the drug under study. The availability of suitable patients for enrollment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 Insufficient patient enrollment may result in the termination or delay of a study which could have a material adverse impact on our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perform clinical trials is dependent upon our ability to recruit suitable willing investigators.</w:t>
      </w:r>
    </w:p>
    <w:p>
      <w:pPr>
        <w:spacing w:after="0" w:line="24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contract with physicians located in hospitals, clinics or other such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patient enrollment, may result in the termination or delay of a study which could have a material adverse impact on our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for important products and services.</w:t>
      </w:r>
    </w:p>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depend on certain third parties to provide us with products and services critical to our business. Such services include, amongst others, suppliers of drugs for patients participating in trials, suppliers of kits for use in our central laboratory business, suppliers of reagents for use in our testing equipment and providers of maintenance services for our equipment. The failure of any of these third parties to adequately provide the required products or services could have a material adverse effect on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information technology. If our systems fail or are unreliable our operations may be adversely impacted.</w:t>
      </w:r>
    </w:p>
    <w:p>
      <w:pPr>
        <w:spacing w:after="0" w:line="24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efficient operation of our business depends on our information technology infrastructure and our management information systems. Our information technology infrastructure includes both third party solutions and applications designed and maintained internally. Since our Group operates on multiple platforms, the failure of our information technology infrastructure and/or our management information systems to perform could severely disrupt our business and adversely affect our results of operation. In addition, our information technology infrastructure and/or our management information systems are vulnerable to damage or interruption from natural or man-made disasters, terrorist attacks, computer viruses or hackers, power loss, or other computer systems, Internet telecommunications or data network failures. Any such interruption could adversely affect our business and results of operations.</w:t>
      </w:r>
    </w:p>
    <w:p>
      <w:pPr>
        <w:spacing w:after="0" w:line="179"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A significant portion of our operations rely on the secure processing, storage and transmission of confidential information, including client and personal confidential information. For example, through our Phase I business, we obtain and store personal health-related information of participating subjects. Our activities are subject to a risk of cyber security issues and/or attacks which could result in the disclosure or loss of confidential client or customer information, damage to our reputation, additional costs, regulatory penalties and financial losses. Despite our security measures, our computer systems, software and networks, or those of our suppliers, customers and so on, are vulnerable to unauthorized access, loss or destruction of data (including confidential client information and personal health data), hardware malfunctions, unavailability of service, computer viruses or other malicious code, cyber attacks and other events. These threats may derive from human error, fraud or malice on the part of employees or third parties, or may result from accidental technological failure.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make acquisitions in the future, which may lead to disruptions to our ongoing business.</w:t>
      </w:r>
    </w:p>
    <w:p>
      <w:pPr>
        <w:spacing w:after="0" w:line="244" w:lineRule="exact"/>
        <w:rPr>
          <w:sz w:val="20"/>
          <w:szCs w:val="20"/>
          <w:color w:val="auto"/>
        </w:rPr>
      </w:pPr>
    </w:p>
    <w:p>
      <w:pPr>
        <w:spacing w:after="0" w:line="366" w:lineRule="auto"/>
        <w:rPr>
          <w:sz w:val="20"/>
          <w:szCs w:val="20"/>
          <w:color w:val="auto"/>
        </w:rPr>
      </w:pPr>
      <w:r>
        <w:rPr>
          <w:rFonts w:ascii="Arial" w:cs="Arial" w:eastAsia="Arial" w:hAnsi="Arial"/>
          <w:sz w:val="15"/>
          <w:szCs w:val="15"/>
          <w:color w:val="auto"/>
        </w:rPr>
        <w:t>We have made a number of acquisitions and will continue to review new acquisition opportunities. If we are unable to successfully integrate an acquired group or business, the acquisition could lead to disruptions to our business. The success of an acquisition will depend upon, among other things, our ability to:</w:t>
      </w:r>
    </w:p>
    <w:p>
      <w:pPr>
        <w:spacing w:after="0" w:line="137" w:lineRule="exact"/>
        <w:rPr>
          <w:sz w:val="20"/>
          <w:szCs w:val="20"/>
          <w:color w:val="auto"/>
        </w:rPr>
      </w:pPr>
    </w:p>
    <w:p>
      <w:pPr>
        <w:ind w:left="1060" w:hanging="325"/>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assimilate the operations and services or products of the acquired group or business;</w:t>
      </w:r>
    </w:p>
    <w:p>
      <w:pPr>
        <w:spacing w:after="0" w:line="243" w:lineRule="exact"/>
        <w:rPr>
          <w:rFonts w:ascii="Arial" w:cs="Arial" w:eastAsia="Arial" w:hAnsi="Arial"/>
          <w:sz w:val="18"/>
          <w:szCs w:val="18"/>
          <w:color w:val="auto"/>
        </w:rPr>
      </w:pPr>
    </w:p>
    <w:p>
      <w:pPr>
        <w:ind w:left="1060" w:hanging="325"/>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integrate acquired personnel;</w:t>
      </w:r>
    </w:p>
    <w:p>
      <w:pPr>
        <w:spacing w:after="0" w:line="243" w:lineRule="exact"/>
        <w:rPr>
          <w:rFonts w:ascii="Arial" w:cs="Arial" w:eastAsia="Arial" w:hAnsi="Arial"/>
          <w:sz w:val="18"/>
          <w:szCs w:val="18"/>
          <w:color w:val="auto"/>
        </w:rPr>
      </w:pPr>
    </w:p>
    <w:p>
      <w:pPr>
        <w:ind w:left="1060" w:hanging="325"/>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retain and motivate key employees;</w:t>
      </w:r>
    </w:p>
    <w:p>
      <w:pPr>
        <w:spacing w:after="0" w:line="243" w:lineRule="exact"/>
        <w:rPr>
          <w:rFonts w:ascii="Arial" w:cs="Arial" w:eastAsia="Arial" w:hAnsi="Arial"/>
          <w:sz w:val="18"/>
          <w:szCs w:val="18"/>
          <w:color w:val="auto"/>
        </w:rPr>
      </w:pPr>
    </w:p>
    <w:p>
      <w:pPr>
        <w:ind w:left="1060" w:hanging="325"/>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retain customers; and</w:t>
      </w:r>
    </w:p>
    <w:p>
      <w:pPr>
        <w:spacing w:after="0" w:line="243" w:lineRule="exact"/>
        <w:rPr>
          <w:rFonts w:ascii="Arial" w:cs="Arial" w:eastAsia="Arial" w:hAnsi="Arial"/>
          <w:sz w:val="18"/>
          <w:szCs w:val="18"/>
          <w:color w:val="auto"/>
        </w:rPr>
      </w:pPr>
    </w:p>
    <w:p>
      <w:pPr>
        <w:ind w:left="1060" w:hanging="325"/>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minimise the diversion of management's attention from other business concerns.</w:t>
      </w:r>
    </w:p>
    <w:p>
      <w:pPr>
        <w:spacing w:after="0" w:line="244" w:lineRule="exact"/>
        <w:rPr>
          <w:sz w:val="20"/>
          <w:szCs w:val="20"/>
          <w:color w:val="auto"/>
        </w:rPr>
      </w:pPr>
    </w:p>
    <w:p>
      <w:pPr>
        <w:ind w:right="300"/>
        <w:spacing w:after="0" w:line="265" w:lineRule="auto"/>
        <w:rPr>
          <w:sz w:val="20"/>
          <w:szCs w:val="20"/>
          <w:color w:val="auto"/>
        </w:rPr>
      </w:pPr>
      <w:r>
        <w:rPr>
          <w:rFonts w:ascii="Arial" w:cs="Arial" w:eastAsia="Arial" w:hAnsi="Arial"/>
          <w:sz w:val="18"/>
          <w:szCs w:val="18"/>
          <w:color w:val="auto"/>
        </w:rPr>
        <w:t>In the event that the operations of an acquired group or business do not meet our performance expectations, we may have to restructure the acquired group or business or write-off the value of some or all of the assets of the acquired group or business.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impacted by a disruption to travel systems.</w:t>
      </w:r>
    </w:p>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Many of our operations rely on the availability of air or other transportation for the distribution of clinical trial materials, study samples and personnel. A disruption to the air travel system or other travel systems could materially impact our operations. While we have developed contingency plans to minimise the impact of such events, a disruption to the availability of air transportation or other travel systems could have a material adverse impact on our activities and results of operations.</w:t>
      </w:r>
    </w:p>
    <w:p>
      <w:pPr>
        <w:spacing w:after="0" w:line="218" w:lineRule="exact"/>
        <w:rPr>
          <w:sz w:val="20"/>
          <w:szCs w:val="20"/>
          <w:color w:val="auto"/>
        </w:rPr>
      </w:pPr>
    </w:p>
    <w:p>
      <w:pPr>
        <w:ind w:right="480"/>
        <w:spacing w:after="0" w:line="265" w:lineRule="auto"/>
        <w:rPr>
          <w:sz w:val="20"/>
          <w:szCs w:val="20"/>
          <w:color w:val="auto"/>
        </w:rPr>
      </w:pPr>
      <w:r>
        <w:rPr>
          <w:rFonts w:ascii="Arial" w:cs="Arial" w:eastAsia="Arial" w:hAnsi="Arial"/>
          <w:sz w:val="18"/>
          <w:szCs w:val="18"/>
          <w:b w:val="1"/>
          <w:bCs w:val="1"/>
          <w:i w:val="1"/>
          <w:iCs w:val="1"/>
          <w:color w:val="auto"/>
        </w:rPr>
        <w:t>We rely on our interactive voice response systems to provide accurate information regarding the randomisation of patients and the dosage required for patients enrolled in the trials.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develop and maintain computer run interactive voice response systems to automatically manage the randomisation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invalidation of the trial and/or liability claims against the Company among other things.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various control measures to mitigate the risk of a serious adverse event resulting from healthy volunteer Phase I trials.</w:t>
      </w:r>
    </w:p>
    <w:p>
      <w:pPr>
        <w:spacing w:after="0" w:line="2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conduct healthy volunteer Phase I trials including first-into-man trials. Due to the experimental nature of these studies, serious adverse events may arise. We mitigate such events by following Good Clinical Practice and ensuring appropriately trained and experienced clinical physicians are managing these trials and that internal Standard Operating Procedures and client protocols are rigorously adhered to. We also ensure that a signed contract is in place with the client in advance of clinical dosing with appropriate indemnifications and insurance coverage. Following our internal review and submission, an independent ethics committee approves the study protocol and appropriate approval is obtained from the relevant regulatory body.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Industry</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dependent on the continued outsourcing of research and development by the pharmaceutical, biotechnology and medical device industries.</w:t>
      </w:r>
    </w:p>
    <w:p>
      <w:pPr>
        <w:spacing w:after="0" w:line="2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We have benefited to date from the tendency of pharmaceutical, biotechnology and medical device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utilise our services. In addition, if governmental regulations were changed, it could affect the ability of our clients to operate profitably, which may lead to a decrease in research spending and therefore this could have a material adverse effect on our business.</w:t>
      </w:r>
    </w:p>
    <w:p>
      <w:pPr>
        <w:spacing w:after="0" w:line="220"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b w:val="1"/>
          <w:bCs w:val="1"/>
          <w:i w:val="1"/>
          <w:iCs w:val="1"/>
          <w:color w:val="auto"/>
        </w:rPr>
        <w:t>Large pharmaceutical companies are increasingly consolidating their vendor base and entering strategic partnership arrangements with a limited number of outsource providers.</w:t>
      </w:r>
    </w:p>
    <w:p>
      <w:pPr>
        <w:spacing w:after="0" w:line="206"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Large pharmaceutical companies are continually seeking to drive efficiencies in their development processes to both reduce costs associated with the development of new drug candidates and accelerate time to market. This has generally been positive for CRO’s as it has resulted in increased outsourcing by these companies. However, in an effort to drive further efficiencies in their development processes, large pharmaceutical companies in particular are increasingly looking to consolidate the number of outsource providers with which they engage, with many entering strategic partnership arrangements with a limited number of outsource providers. While we believe this trend will benefit large CRO’s with global capabilities and expertise such as ICON, and may also lead to increased outsourcing spend,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Increased collaboration amongst pharmaceutical companies in research and development activities may lead to fewer research opportunities.</w:t>
      </w:r>
    </w:p>
    <w:p>
      <w:pPr>
        <w:spacing w:after="0" w:line="278"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Financial Results and Financial Position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are dependent upon a number of factors and can fluctuate from quarter to quarter.</w:t>
      </w:r>
    </w:p>
    <w:p>
      <w:pPr>
        <w:spacing w:after="0" w:line="24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Our results of operations in any quarter can fluctuate depending upon, among other things, the number and scope of ongoing client projects, the commencement, postponement, variation and cancellation or termination of projects in a quarter, the mix of revenue, cost overruns, employee hiring and other factors. Our net revenue in any period is directly related to the number and percentage of employees who were working on projects billable to the client during that period. We may be unable to compensate for periods of underutilisation during one part of a fiscal period by augmenting revenues during another part of that period. We believe that operating results for any particular quarter are not necessarily a meaningful indication of future results.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exchange rate fluctuations could adversely affect our results of operations.</w:t>
      </w:r>
    </w:p>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This risk is partially mitigated by clauses in certain of our contracts which allow for price renegotiation with clients if changes in the relative value of those currencies exceed predetermined tolerances.</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a subsidiary’s financial results into U.S. dollars for purposes of reporting our consolidated financial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from quarter-to-quarter, which may affect our results of operations.</w:t>
      </w:r>
    </w:p>
    <w:p>
      <w:pPr>
        <w:spacing w:after="0" w:line="24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quarterly effective tax rate has depended and will continue to depend on the geographic distribution of our revenue and earnings amongst the multiple tax jurisdictions in which we operate and the tax law in those jurisdictions. Changes in the geographic mix of our results of operations amongst these jurisdictions may have a significant impact on our effective tax rate from quarter to quarter. In addition, as we operate in multiple tax jurisdictions, we may be subject to audits in certain jurisdictions. These audits may involve complex issues which could require an extended period of time for resolution. While we believe that adequate provisions for income taxes have been made in our financial statements, the resolution of audit issues may lead to differences which could have a significant impact on our effective tax rate.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may not convert to net revenue and the rate of conversion may slow.</w:t>
      </w:r>
    </w:p>
    <w:p>
      <w:pPr>
        <w:spacing w:after="0" w:line="24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Our backlog consists of potential net revenue yet to be earned from projects awarded by clients. Our backlog at any date is not necessarily a meaningful predictor of future results, due to the potential for the cancellation or delay of projects underlying the backlog. No assurances can be given that we will be able to realise this backlog as net revenue. A failure to realise backlog as net revenue could have a material adverse impact on our results of operations. In addition, as the length and complexity of projects underlying our backlog increases, the rate at which backlog converts to net revenue may be slower than in the past. A significant reduction in the rate at which backlog converts to net revenue could have a material impact on our results of operations.</w:t>
      </w:r>
    </w:p>
    <w:p>
      <w:pPr>
        <w:spacing w:after="0" w:line="178" w:lineRule="exact"/>
        <w:rPr>
          <w:sz w:val="20"/>
          <w:szCs w:val="20"/>
          <w:color w:val="auto"/>
        </w:rPr>
      </w:pPr>
    </w:p>
    <w:p>
      <w:pPr>
        <w:ind w:right="840"/>
        <w:spacing w:after="0" w:line="265" w:lineRule="auto"/>
        <w:rPr>
          <w:sz w:val="20"/>
          <w:szCs w:val="20"/>
          <w:color w:val="auto"/>
        </w:rPr>
      </w:pPr>
      <w:r>
        <w:rPr>
          <w:rFonts w:ascii="Arial" w:cs="Arial" w:eastAsia="Arial" w:hAnsi="Arial"/>
          <w:sz w:val="18"/>
          <w:szCs w:val="18"/>
          <w:b w:val="1"/>
          <w:bCs w:val="1"/>
          <w:i w:val="1"/>
          <w:iCs w:val="1"/>
          <w:color w:val="auto"/>
        </w:rPr>
        <w:t>Significant changes from our estimates of contingent consideration payable on acquisitions could have a serious adverse impact on our results of operations.</w:t>
      </w:r>
    </w:p>
    <w:p>
      <w:pPr>
        <w:spacing w:after="0" w:line="206"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We have made a number of acquisitions in the past and will continue to review new acquisition opportunities. The cost of many of these acquisitions includes a portion which is contingent upon certain future events, such as the achievement of a particular revenue or earnings target. Where an acquisition agreement provides for such additional consideration, the amount of the estimated additional consideration is recognised on the acquisition date at fair value. The accounting treatment of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an asset or liability any adjustments will be accounted for through the consolidated income statement or other comprehensive income depending on whether the asset or liability is considered a financial instrument. Significant estimates and judgements are required in estimating the acquisition date fair value of the additional consideration. Changes in business conditions or the performance of the acquired business could lead to a significant change between our estimate of the acquisition date fair value and amounts payable which could have a significant adverse impact on our results of operations.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Group is exposed to various risks in relation to our cash and cash equivalents and current asset investments.</w:t>
      </w:r>
    </w:p>
    <w:p>
      <w:pPr>
        <w:spacing w:after="0" w:line="24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Group’s treasury function actively manages our available cash resources and invests significant cash balances in various financial institutions to try to ensure optimum returns for our surplus cash balances. These balances are classified as cash and cash equivalents or current asset investments depending on the maturity of the related investment. Cash and cash equivalents comprise cash and highly liquid investments with maturities of three months or less. Current asset investments comprise highly liquid investments with maturities of greater than three months and minimum “A” rated fixed and floating rate securities.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Given the global nature of our business, we are exposed to various risks in relation to these balances including liquidity risk, credit risk associated with the counterparties with which we invest, interest rate risk on floating rate securities, sovereign risk (our principal sovereign risk relates to investments in U.S. Treasury funds), and other factors.</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manage risks in relation to these balances through ongoing monitoring of the composition of the balances and ensuring that funds are invested in accordance with strict risk management policies and controls as specified by the Company’s Board of Directors.</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Although we have not recognised any significant losses to date on our cash and cash equivalents or current asset investments, any significant declines in their market values could have a material adverse affect on our financial position and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Political, Legal or Regulatory Environment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opportunities as a result of health care reform and the expansion of managed care organisations.</w:t>
      </w:r>
    </w:p>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healthcare reform proposals, the expansion of managed care organisations in the healthcare market may result in reduced spending on research and development. Managed care organisations'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as a result of changes in the regulatory environment.</w:t>
      </w:r>
    </w:p>
    <w:p>
      <w:pPr>
        <w:spacing w:after="0" w:line="244"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Various regulatory bodies throughout the world may enact legislation which could introduce changes to the regulatory environment for drug development and research. The adoption and implementation of such legislation is difficult to predict and therefore could have a material adverse effect on our business.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8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Failure to comply with the regulations of the U.S. Food and Drug Administration and other regulatory authorities could result in substantial penalties and/or loss of business.</w:t>
      </w:r>
    </w:p>
    <w:p>
      <w:pPr>
        <w:spacing w:after="0" w:line="206"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 some or all of:</w:t>
      </w:r>
    </w:p>
    <w:p>
      <w:pPr>
        <w:spacing w:after="0" w:line="164" w:lineRule="exact"/>
        <w:rPr>
          <w:sz w:val="20"/>
          <w:szCs w:val="20"/>
          <w:color w:val="auto"/>
        </w:rPr>
      </w:pPr>
    </w:p>
    <w:p>
      <w:pPr>
        <w:ind w:left="700" w:hanging="349"/>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termination of any research;</w:t>
      </w:r>
    </w:p>
    <w:p>
      <w:pPr>
        <w:spacing w:after="0" w:line="16" w:lineRule="exact"/>
        <w:rPr>
          <w:rFonts w:ascii="Arial" w:cs="Arial" w:eastAsia="Arial" w:hAnsi="Arial"/>
          <w:sz w:val="18"/>
          <w:szCs w:val="18"/>
          <w:color w:val="auto"/>
        </w:rPr>
      </w:pPr>
    </w:p>
    <w:p>
      <w:pPr>
        <w:ind w:left="700" w:hanging="349"/>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disqualification of data;</w:t>
      </w:r>
    </w:p>
    <w:p>
      <w:pPr>
        <w:spacing w:after="0" w:line="5" w:lineRule="exact"/>
        <w:rPr>
          <w:rFonts w:ascii="Arial" w:cs="Arial" w:eastAsia="Arial" w:hAnsi="Arial"/>
          <w:sz w:val="18"/>
          <w:szCs w:val="18"/>
          <w:color w:val="auto"/>
        </w:rPr>
      </w:pPr>
    </w:p>
    <w:p>
      <w:pPr>
        <w:ind w:left="700" w:hanging="349"/>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denial of the right to conduct business;</w:t>
      </w:r>
    </w:p>
    <w:p>
      <w:pPr>
        <w:spacing w:after="0" w:line="5" w:lineRule="exact"/>
        <w:rPr>
          <w:rFonts w:ascii="Arial" w:cs="Arial" w:eastAsia="Arial" w:hAnsi="Arial"/>
          <w:sz w:val="18"/>
          <w:szCs w:val="18"/>
          <w:color w:val="auto"/>
        </w:rPr>
      </w:pPr>
    </w:p>
    <w:p>
      <w:pPr>
        <w:ind w:left="700" w:hanging="349"/>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criminal penalties;</w:t>
      </w:r>
    </w:p>
    <w:p>
      <w:pPr>
        <w:spacing w:after="0" w:line="5" w:lineRule="exact"/>
        <w:rPr>
          <w:rFonts w:ascii="Arial" w:cs="Arial" w:eastAsia="Arial" w:hAnsi="Arial"/>
          <w:sz w:val="18"/>
          <w:szCs w:val="18"/>
          <w:color w:val="auto"/>
        </w:rPr>
      </w:pPr>
    </w:p>
    <w:p>
      <w:pPr>
        <w:ind w:left="700" w:hanging="349"/>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enforcement actions;</w:t>
      </w:r>
    </w:p>
    <w:p>
      <w:pPr>
        <w:spacing w:after="0" w:line="5" w:lineRule="exact"/>
        <w:rPr>
          <w:rFonts w:ascii="Arial" w:cs="Arial" w:eastAsia="Arial" w:hAnsi="Arial"/>
          <w:sz w:val="18"/>
          <w:szCs w:val="18"/>
          <w:color w:val="auto"/>
        </w:rPr>
      </w:pPr>
    </w:p>
    <w:p>
      <w:pPr>
        <w:ind w:left="700" w:hanging="349"/>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 of clients and/or business; and</w:t>
      </w:r>
    </w:p>
    <w:p>
      <w:pPr>
        <w:spacing w:after="0" w:line="5" w:lineRule="exact"/>
        <w:rPr>
          <w:rFonts w:ascii="Arial" w:cs="Arial" w:eastAsia="Arial" w:hAnsi="Arial"/>
          <w:sz w:val="18"/>
          <w:szCs w:val="18"/>
          <w:color w:val="auto"/>
        </w:rPr>
      </w:pPr>
    </w:p>
    <w:p>
      <w:pPr>
        <w:ind w:left="700" w:hanging="349"/>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litigation from clients and resulting material penalties, damages and costs.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claims brought against us could result in payment of substantial damages to plaintiffs and decrease our profitability.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 Claims</w:t>
      </w:r>
    </w:p>
    <w:p>
      <w:pPr>
        <w:spacing w:after="0" w:line="1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we breach the terms of an agreement with a client, this could result in claims against us for substantial damages which could have a material adverse effect on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relating to Investigators</w:t>
      </w:r>
    </w:p>
    <w:p>
      <w:pPr>
        <w:spacing w:after="0" w:line="16"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or other actions against the investigators with whom we contract.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from Clients</w:t>
      </w:r>
    </w:p>
    <w:p>
      <w:pPr>
        <w:spacing w:after="0" w:line="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Indemnifications provided by our clients against the risk of liability for personal injury to or death of the patients vary from client to client and from trial to trial and may not be sufficient in scope or amount or the client may not have the financial ability to fulfill their indemnification obligations. Furthermore, we would be liable for our own negligence and negligence of our employees and such negligence could lead to litigation from clients.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w:t>
      </w:r>
    </w:p>
    <w:p>
      <w:pPr>
        <w:spacing w:after="0" w:line="1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maintain what we believe is an appropriate level of worldwide Professional Liability/Error and Omissions Insurance. The amount of coverage we maintain depends upon the nature of the trial. We may in the future be unable to maintain or continue our current insurance coverage on the same or similar terms. If we are liable for a claim that is beyond the level of insurance coverage, we may be responsible for paying all or part of any award. Also, the insurance policies contain exclusions which mean that the policy will not respond or provide cover in certain circumstances.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to Date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not been subject to any liability claims that are expected to have a material effect on our business.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political, regulatory and legal risks associated with our international operations.</w:t>
      </w:r>
    </w:p>
    <w:p>
      <w:pPr>
        <w:spacing w:after="0" w:line="244"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We are one of a small group of organisations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volatility in gross domestic product, economic and governmental instability, the potential for nationalisation of private assets and the imposition of exchange controls.</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and developing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w:t>
      </w:r>
    </w:p>
    <w:p>
      <w:pPr>
        <w:spacing w:after="0" w:line="178"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Finally, we operate in some countries where national laws may require not only accurate books and records, but also sufficient controls, policies and processes to ensure business is conducted without the influence of bribery and corruption. Given the high level of complexity of some of these laws and the large number of employees and contractors we have in many jurisdictions, there is a risk that some provisions may inadvertently be breached, for example through negligent behaviour of individual employees, or failure to comply with certain formal documentation requirements or otherwise. Any violation of these laws or allegations of such violations, whether merited or not, could have a material adverse effect on our reputation and could cause the trading price of our common stock to decline.</w:t>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If any of the above risks or similar risks associated with our international operations were to materialise, our results of operations and financial condition could be materially adversely affected.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Common Stock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the market price of our common stock could lead to losses by investors.</w:t>
      </w:r>
    </w:p>
    <w:p>
      <w:pPr>
        <w:spacing w:after="0" w:line="2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market price of our common stock has experienced volatility in the past and may experience volatility in the future which could lead to losses for investors. Factors impacting volatility in the market price of our common stock include, amongst others, our results of operations, analyst expectations, developments impacting the industry or our competitors and general market and economic conditions. 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011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sectPr>
      <w:pgSz w:w="11900" w:h="16838" w:orient="portrait"/>
      <w:cols w:equalWidth="0" w:num="1">
        <w:col w:w="11420"/>
      </w:cols>
      <w:pgMar w:left="240" w:top="4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4"/>
    </w:lvl>
  </w:abstractNum>
  <w:abstractNum w:abstractNumId="7">
    <w:nsid w:val="189A769B"/>
    <w:multiLevelType w:val="hybridMultilevel"/>
    <w:lvl w:ilvl="0">
      <w:lvlJc w:val="left"/>
      <w:lvlText w:val="%1."/>
      <w:numFmt w:val="decimal"/>
      <w:start w:val="5"/>
    </w:lvl>
  </w:abstractNum>
  <w:abstractNum w:abstractNumId="8">
    <w:nsid w:val="54E49EB4"/>
    <w:multiLevelType w:val="hybridMultilevel"/>
    <w:lvl w:ilvl="0">
      <w:lvlJc w:val="left"/>
      <w:lvlText w:val="%1."/>
      <w:numFmt w:val="decimal"/>
      <w:start w:val="6"/>
    </w:lvl>
    <w:lvl w:ilvl="1">
      <w:lvlJc w:val="left"/>
      <w:lvlText w:val="(%2)"/>
      <w:numFmt w:val="lowerRoman"/>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2"/>
    </w:lvl>
  </w:abstractNum>
  <w:abstractNum w:abstractNumId="11">
    <w:nsid w:val="836C40E"/>
    <w:multiLevelType w:val="hybridMultilevel"/>
    <w:lvl w:ilvl="0">
      <w:lvlJc w:val="left"/>
      <w:lvlText w:val="%1."/>
      <w:numFmt w:val="decimal"/>
      <w:start w:val="3"/>
    </w:lvl>
  </w:abstractNum>
  <w:abstractNum w:abstractNumId="12">
    <w:nsid w:val="2901D82"/>
    <w:multiLevelType w:val="hybridMultilevel"/>
    <w:lvl w:ilvl="0">
      <w:lvlJc w:val="left"/>
      <w:lvlText w:val="%1."/>
      <w:numFmt w:val="decimal"/>
      <w:start w:val="5"/>
    </w:lvl>
    <w:lvl w:ilvl="1">
      <w:lvlJc w:val="left"/>
      <w:lvlText w:val="·"/>
      <w:numFmt w:val="bullet"/>
      <w:start w:val="1"/>
    </w:lvl>
  </w:abstractNum>
  <w:abstractNum w:abstractNumId="13">
    <w:nsid w:val="3A95F874"/>
    <w:multiLevelType w:val="hybridMultilevel"/>
    <w:lvl w:ilvl="0">
      <w:lvlJc w:val="left"/>
      <w:lvlText w:val="%1."/>
      <w:numFmt w:val="decimal"/>
      <w:start w:val="6"/>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decimal"/>
      <w:start w:val="1"/>
    </w:lvl>
    <w:lvl w:ilvl="1">
      <w:lvlJc w:val="left"/>
      <w:lvlText w:val="*"/>
      <w:numFmt w:val="bullet"/>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lowerRoman"/>
      <w:start w:val="1"/>
    </w:lvl>
  </w:abstractNum>
  <w:abstractNum w:abstractNumId="27">
    <w:nsid w:val="3804823E"/>
    <w:multiLevelType w:val="hybridMultilevel"/>
    <w:lvl w:ilvl="0">
      <w:lvlJc w:val="left"/>
      <w:lvlText w:val="(%1)"/>
      <w:numFmt w:val="lowerRoman"/>
      <w:start w:val="2"/>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1."/>
      <w:numFmt w:val="decimal"/>
      <w:start w:val="9"/>
    </w:lvl>
  </w:abstractNum>
  <w:abstractNum w:abstractNumId="30">
    <w:nsid w:val="5C482A97"/>
    <w:multiLevelType w:val="hybridMultilevel"/>
    <w:lvl w:ilvl="0">
      <w:lvlJc w:val="left"/>
      <w:lvlText w:val="%1."/>
      <w:numFmt w:val="decimal"/>
      <w:start w:val="10"/>
    </w:lvl>
  </w:abstractNum>
  <w:abstractNum w:abstractNumId="31">
    <w:nsid w:val="2463B9EA"/>
    <w:multiLevelType w:val="hybridMultilevel"/>
    <w:lvl w:ilvl="0">
      <w:lvlJc w:val="left"/>
      <w:lvlText w:val="%1."/>
      <w:numFmt w:val="decimal"/>
      <w:start w:val="12"/>
    </w:lvl>
  </w:abstractNum>
  <w:abstractNum w:abstractNumId="32">
    <w:nsid w:val="5E884ADC"/>
    <w:multiLevelType w:val="hybridMultilevel"/>
    <w:lvl w:ilvl="0">
      <w:lvlJc w:val="left"/>
      <w:lvlText w:val="(%1)"/>
      <w:numFmt w:val="upperLetter"/>
      <w:start w:val="53"/>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lowerLetter"/>
      <w:start w:val="2"/>
    </w:lvl>
  </w:abstractNum>
  <w:abstractNum w:abstractNumId="35">
    <w:nsid w:val="580BD78F"/>
    <w:multiLevelType w:val="hybridMultilevel"/>
    <w:lvl w:ilvl="0">
      <w:lvlJc w:val="left"/>
      <w:lvlText w:val="(%1)"/>
      <w:numFmt w:val="lowerLetter"/>
      <w:start w:val="2"/>
    </w:lvl>
    <w:lvl w:ilvl="1">
      <w:lvlJc w:val="left"/>
      <w:lvlText w:val="-"/>
      <w:numFmt w:val="bullet"/>
      <w:start w:val="1"/>
    </w:lvl>
  </w:abstractNum>
  <w:abstractNum w:abstractNumId="36">
    <w:nsid w:val="153EA438"/>
    <w:multiLevelType w:val="hybridMultilevel"/>
    <w:lvl w:ilvl="0">
      <w:lvlJc w:val="left"/>
      <w:lvlText w:val="(%1)"/>
      <w:numFmt w:val="lowerRoman"/>
      <w:start w:val="1"/>
    </w:lvl>
  </w:abstractNum>
  <w:abstractNum w:abstractNumId="37">
    <w:nsid w:val="3855585C"/>
    <w:multiLevelType w:val="hybridMultilevel"/>
    <w:lvl w:ilvl="0">
      <w:lvlJc w:val="left"/>
      <w:lvlText w:val="(%1)"/>
      <w:numFmt w:val="lowerRoman"/>
      <w:start w:val="2"/>
    </w:lvl>
  </w:abstractNum>
  <w:abstractNum w:abstractNumId="38">
    <w:nsid w:val="70A64E2A"/>
    <w:multiLevelType w:val="hybridMultilevel"/>
    <w:lvl w:ilvl="0">
      <w:lvlJc w:val="left"/>
      <w:lvlText w:val="(%1)"/>
      <w:numFmt w:val="lowerRoman"/>
      <w:start w:val="1"/>
    </w:lvl>
  </w:abstractNum>
  <w:abstractNum w:abstractNumId="39">
    <w:nsid w:val="6A2342EC"/>
    <w:multiLevelType w:val="hybridMultilevel"/>
    <w:lvl w:ilvl="0">
      <w:lvlJc w:val="left"/>
      <w:lvlText w:val="(%1)"/>
      <w:numFmt w:val="lowerLetter"/>
      <w:start w:val="3"/>
    </w:lvl>
  </w:abstractNum>
  <w:abstractNum w:abstractNumId="40">
    <w:nsid w:val="2A487CB0"/>
    <w:multiLevelType w:val="hybridMultilevel"/>
    <w:lvl w:ilvl="0">
      <w:lvlJc w:val="left"/>
      <w:lvlText w:val="(%1)"/>
      <w:numFmt w:val="lowerLetter"/>
      <w:start w:val="4"/>
    </w:lvl>
  </w:abstractNum>
  <w:abstractNum w:abstractNumId="41">
    <w:nsid w:val="1D4ED43B"/>
    <w:multiLevelType w:val="hybridMultilevel"/>
    <w:lvl w:ilvl="0">
      <w:lvlJc w:val="left"/>
      <w:lvlText w:val="(%1)"/>
      <w:numFmt w:val="lowerLetter"/>
      <w:start w:val="5"/>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2019-12-06T20:48:25Z</dcterms:created>
  <dcterms:modified xsi:type="dcterms:W3CDTF">2019-12-06T20:48:25Z</dcterms:modified>
</cp:coreProperties>
</file>